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0"/>
      </w:pPr>
      <w:r>
        <w:t xml:space="preserve"/>
      </w:r>
    </w:p>
    <w:p>
      <w:pPr>
        <w:spacing w:after="200" w:before="0"/>
        <w:jc w:val="center"/>
      </w:pPr>
      <w:r>
        <w:rPr>
          <w:rFonts w:ascii="Arial" w:cs="Arial" w:eastAsia="Arial" w:hAnsi="Arial"/>
          <w:b/>
          <w:bCs/>
          <w:color w:val="1A3C5E"/>
          <w:sz w:val="56"/>
          <w:szCs w:val="56"/>
        </w:rPr>
        <w:t xml:space="preserve">ZENTRASCORE</w:t>
      </w:r>
    </w:p>
    <w:p>
      <w:pPr>
        <w:pBdr>
          <w:bottom w:val="single" w:color="2E75B6" w:sz="8" w:space="8"/>
        </w:pBdr>
        <w:spacing w:after="120" w:before="0"/>
        <w:jc w:val="center"/>
      </w:pPr>
      <w:r>
        <w:rPr>
          <w:rFonts w:ascii="Arial" w:cs="Arial" w:eastAsia="Arial" w:hAnsi="Arial"/>
          <w:color w:val="2E75B6"/>
          <w:sz w:val="36"/>
          <w:szCs w:val="36"/>
        </w:rPr>
        <w:t xml:space="preserve">Credit Scoring Methodology</w:t>
      </w:r>
    </w:p>
    <w:p>
      <w:pPr>
        <w:spacing w:after="120" w:before="0"/>
      </w:pPr>
      <w:r>
        <w:t xml:space="preserve"/>
      </w:r>
    </w:p>
    <w:p>
      <w:pPr>
        <w:spacing w:after="80" w:before="0"/>
        <w:jc w:val="center"/>
      </w:pPr>
      <w:r>
        <w:rPr>
          <w:rFonts w:ascii="Arial" w:cs="Arial" w:eastAsia="Arial" w:hAnsi="Arial"/>
          <w:color w:val="404040"/>
          <w:sz w:val="24"/>
          <w:szCs w:val="24"/>
        </w:rPr>
        <w:t xml:space="preserve">Version 1.0  |  May 2026</w:t>
      </w:r>
    </w:p>
    <w:p>
      <w:pPr>
        <w:spacing w:after="80" w:before="0"/>
        <w:jc w:val="center"/>
      </w:pPr>
      <w:r>
        <w:rPr>
          <w:rFonts w:ascii="Arial" w:cs="Arial" w:eastAsia="Arial" w:hAnsi="Arial"/>
          <w:i/>
          <w:iCs/>
          <w:color w:val="404040"/>
          <w:sz w:val="22"/>
          <w:szCs w:val="22"/>
        </w:rPr>
        <w:t xml:space="preserve">FINAL — Published for Aave Governance Review</w:t>
      </w:r>
    </w:p>
    <w:p>
      <w:pPr>
        <w:spacing w:after="3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2E75B6"/>
                <w:sz w:val="20"/>
                <w:szCs w:val="20"/>
              </w:rPr>
              <w:t xml:space="preserve">Document Title</w:t>
            </w:r>
          </w:p>
        </w:tc>
        <w:tc>
          <w:tcPr>
            <w:tcW w:type="dxa" w:w="71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ZentraScore Credit Scoring Methodology</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2E75B6"/>
                <w:sz w:val="20"/>
                <w:szCs w:val="20"/>
              </w:rPr>
              <w:t xml:space="preserve">Version</w:t>
            </w:r>
          </w:p>
        </w:tc>
        <w:tc>
          <w:tcPr>
            <w:tcW w:type="dxa" w:w="71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1.0</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2E75B6"/>
                <w:sz w:val="20"/>
                <w:szCs w:val="20"/>
              </w:rPr>
              <w:t xml:space="preserve">Effective Date</w:t>
            </w:r>
          </w:p>
        </w:tc>
        <w:tc>
          <w:tcPr>
            <w:tcW w:type="dxa" w:w="71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May 2026</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2E75B6"/>
                <w:sz w:val="20"/>
                <w:szCs w:val="20"/>
              </w:rPr>
              <w:t xml:space="preserve">Authors</w:t>
            </w:r>
          </w:p>
        </w:tc>
        <w:tc>
          <w:tcPr>
            <w:tcW w:type="dxa" w:w="71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ZentraScore Team</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2E75B6"/>
                <w:sz w:val="20"/>
                <w:szCs w:val="20"/>
              </w:rPr>
              <w:t xml:space="preserve">Status</w:t>
            </w:r>
          </w:p>
        </w:tc>
        <w:tc>
          <w:tcPr>
            <w:tcW w:type="dxa" w:w="71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FINAL — Delegate Conditional Approval Received (May 2026)</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2E75B6"/>
                <w:sz w:val="20"/>
                <w:szCs w:val="20"/>
              </w:rPr>
              <w:t xml:space="preserve">Contact</w:t>
            </w:r>
          </w:p>
        </w:tc>
        <w:tc>
          <w:tcPr>
            <w:tcW w:type="dxa" w:w="71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support@zentrascore.com</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2E75B6"/>
                <w:sz w:val="20"/>
                <w:szCs w:val="20"/>
              </w:rPr>
              <w:t xml:space="preserve">Website</w:t>
            </w:r>
          </w:p>
        </w:tc>
        <w:tc>
          <w:tcPr>
            <w:tcW w:type="dxa" w:w="71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https://zentrascore.com</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2E75B6"/>
                <w:sz w:val="20"/>
                <w:szCs w:val="20"/>
              </w:rPr>
              <w:t xml:space="preserve">API Docs</w:t>
            </w:r>
          </w:p>
        </w:tc>
        <w:tc>
          <w:tcPr>
            <w:tcW w:type="dxa" w:w="71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https://zentrascore.com/docs</w:t>
            </w:r>
          </w:p>
        </w:tc>
      </w:tr>
    </w:tbl>
    <w:p>
      <w:pPr>
        <w:spacing w:after="240" w:before="0"/>
      </w:pPr>
      <w:r>
        <w:t xml:space="preserve"/>
      </w:r>
    </w:p>
    <w:p>
      <w:pPr>
        <w:pBdr>
          <w:top w:val="single" w:color="B8CCE4" w:sz="1"/>
          <w:left w:val="thick" w:color="2E75B6" w:sz="16"/>
          <w:bottom w:val="single" w:color="B8CCE4" w:sz="1"/>
          <w:right w:val="single" w:color="B8CCE4" w:sz="1"/>
        </w:pBdr>
        <w:shd w:fill="D5E8F0" w:val="clear"/>
        <w:spacing w:after="160" w:before="160"/>
        <w:ind w:left="360" w:right="360"/>
      </w:pPr>
      <w:r>
        <w:rPr>
          <w:rFonts w:ascii="Arial" w:cs="Arial" w:eastAsia="Arial" w:hAnsi="Arial"/>
          <w:i/>
          <w:iCs/>
          <w:color w:val="1A3C5E"/>
          <w:sz w:val="21"/>
          <w:szCs w:val="21"/>
        </w:rPr>
        <w:t xml:space="preserve">This document is prepared in response to governance community feedback on the ZentraScore Aave V3 integration proposal. It constitutes ZentraScore's formal methodology disclosure commitment. All proposed Aave integration parameters described herein are subject to revision based on community and risk provider feedback.</w:t>
      </w:r>
    </w:p>
    <w:p>
      <w:pPr>
        <w:pStyle w:val="Heading1"/>
        <w:pBdr>
          <w:bottom w:val="single" w:color="1E8449" w:sz="8" w:space="6"/>
        </w:pBdr>
        <w:spacing w:after="160" w:before="360"/>
      </w:pPr>
      <w:r>
        <w:rPr>
          <w:rFonts w:ascii="Arial" w:cs="Arial" w:eastAsia="Arial" w:hAnsi="Arial"/>
          <w:b/>
          <w:bCs/>
          <w:color w:val="1E8449"/>
          <w:sz w:val="32"/>
          <w:szCs w:val="32"/>
        </w:rPr>
        <w:t>Governance Status Update</w:t>
      </w:r>
    </w:p>
    <w:p>
      <w:pPr>
        <w:pBdr>
          <w:top w:val="single" w:color="B8CCE4" w:sz="1"/>
          <w:left w:val="thick" w:color="1E8449" w:sz="16"/>
          <w:bottom w:val="single" w:color="B8CCE4" w:sz="1"/>
          <w:right w:val="single" w:color="B8CCE4" w:sz="1"/>
        </w:pBdr>
        <w:shd w:fill="E9F7EF" w:val="clear"/>
        <w:spacing w:before="80" w:after="120"/>
        <w:ind w:left="360" w:right="360"/>
      </w:pPr>
      <w:r>
        <w:rPr>
          <w:rFonts w:ascii="Arial" w:cs="Arial" w:eastAsia="Arial" w:hAnsi="Arial"/>
          <w:b/>
          <w:bCs/>
          <w:color w:val="1E8449"/>
          <w:sz w:val="22"/>
          <w:szCs w:val="22"/>
        </w:rPr>
        <w:t xml:space="preserve">Conditional Delegate Approval Received — May 2026. This Methodology Note satisfies Condition 2 of the delegate’s three requirements for ARFC advancement.</w:t>
      </w:r>
    </w:p>
    <w:p>
      <w:pPr>
        <w:spacing w:before="80" w:after="120"/>
      </w:pPr>
      <w:r>
        <w:rPr>
          <w:rFonts w:ascii="Arial" w:cs="Arial" w:eastAsia="Arial" w:hAnsi="Arial"/>
          <w:color w:val="1A1A1A"/>
          <w:sz w:val="22"/>
          <w:szCs w:val="22"/>
        </w:rPr>
        <w:t xml:space="preserve">An Aave governance delegate reviewed the TEMP CHECK proposal and governance commitments and issued the following statement:</w:t>
      </w:r>
    </w:p>
    <w:p>
      <w:pPr>
        <w:pBdr>
          <w:left w:val="single" w:color="2E75B6" w:sz="12"/>
        </w:pBdr>
        <w:spacing w:before="80" w:after="120"/>
        <w:ind w:left="600" w:right="360"/>
      </w:pPr>
      <w:r>
        <w:rPr>
          <w:rFonts w:ascii="Arial" w:cs="Arial" w:eastAsia="Arial" w:hAnsi="Arial"/>
          <w:i/>
          <w:iCs/>
          <w:color w:val="404040"/>
          <w:sz w:val="21"/>
          <w:szCs w:val="21"/>
        </w:rPr>
        <w:t xml:space="preserve">“I’d consider this ‘conditionally sufficient’ for moving to ARFC conditional on: (1) Chaos Labs / LlamaRisk publicly confirming their participation before the on-chain vote, (2) the methodology note being published before ARFC filing, not after, and (3) the public back-test report being available for community review with adequate time (at least 7 days) before any snapshot vote. If these three are met, I’d be supportive of the Phase 1 scope as described.”</w:t>
      </w:r>
    </w:p>
    <w:p>
      <w:pPr>
        <w:spacing w:before="120" w:after="80"/>
      </w:pPr>
      <w:r>
        <w:rPr>
          <w:rFonts w:ascii="Arial" w:cs="Arial" w:eastAsia="Arial" w:hAnsi="Arial"/>
          <w:b/>
          <w:bCs/>
          <w:color w:val="1A3C5E"/>
          <w:sz w:val="22"/>
          <w:szCs w:val="22"/>
        </w:rPr>
        <w:t>Remaining conditions before ARFC filing:</w:t>
      </w:r>
    </w:p>
    <w:p>
      <w:pPr>
        <w:spacing w:before="60" w:after="60"/>
        <w:ind w:left="600" w:hanging="280"/>
      </w:pPr>
      <w:r>
        <w:rPr>
          <w:rFonts w:ascii="Arial" w:cs="Arial" w:eastAsia="Arial" w:hAnsi="Arial"/>
          <w:color w:val="1A1A1A"/>
          <w:sz w:val="22"/>
          <w:szCs w:val="22"/>
        </w:rPr>
        <w:t xml:space="preserve">☐  Condition 1: Chaos Labs and LlamaRisk publicly confirm back-test participation on the Aave governance forum before the on-chain vote.</w:t>
      </w:r>
    </w:p>
    <w:p>
      <w:pPr>
        <w:spacing w:before="60" w:after="60"/>
        <w:ind w:left="600" w:hanging="280"/>
      </w:pPr>
      <w:r>
        <w:rPr>
          <w:rFonts w:ascii="Arial" w:cs="Arial" w:eastAsia="Arial" w:hAnsi="Arial"/>
          <w:color w:val="1E8449"/>
          <w:sz w:val="22"/>
          <w:szCs w:val="22"/>
        </w:rPr>
        <w:t xml:space="preserve">☑  Condition 2: This Methodology Note is published before ARFC filing. SATISFIED by this document.</w:t>
      </w:r>
    </w:p>
    <w:p>
      <w:pPr>
        <w:spacing w:before="60" w:after="120"/>
        <w:ind w:left="600" w:hanging="280"/>
      </w:pPr>
      <w:r>
        <w:rPr>
          <w:rFonts w:ascii="Arial" w:cs="Arial" w:eastAsia="Arial" w:hAnsi="Arial"/>
          <w:color w:val="1A1A1A"/>
          <w:sz w:val="22"/>
          <w:szCs w:val="22"/>
        </w:rPr>
        <w:t xml:space="preserve">☐  Condition 3: Public back-test report published at least 7 days before Snapshot vote. ZentraScore will not request a Snapshot vote until this condition is satisfied.</w:t>
      </w:r>
    </w:p>
    <w:p>
      <w:r>
        <w:br w:type="page"/>
      </w:r>
    </w:p>
    <w:p>
      <w:pPr>
        <w:pStyle w:val="Heading1"/>
        <w:pBdr>
          <w:bottom w:val="single" w:color="2E75B6" w:sz="8" w:space="6"/>
        </w:pBdr>
        <w:spacing w:after="160" w:before="360"/>
      </w:pPr>
      <w:r>
        <w:rPr>
          <w:rFonts w:ascii="Arial" w:cs="Arial" w:eastAsia="Arial" w:hAnsi="Arial"/>
          <w:b/>
          <w:bCs/>
          <w:color w:val="1A3C5E"/>
          <w:sz w:val="32"/>
          <w:szCs w:val="32"/>
        </w:rPr>
        <w:t xml:space="preserve">1.  Executive Summary</w:t>
      </w:r>
    </w:p>
    <w:p>
      <w:pPr>
        <w:spacing w:after="120" w:before="80"/>
      </w:pPr>
      <w:r>
        <w:rPr>
          <w:rFonts w:ascii="Arial" w:cs="Arial" w:eastAsia="Arial" w:hAnsi="Arial"/>
          <w:color w:val="1A1A1A"/>
          <w:sz w:val="22"/>
          <w:szCs w:val="22"/>
        </w:rPr>
        <w:t xml:space="preserve">ZentraScore is the first trustless, on-chain credit scoring infrastructure purpose-built for decentralized finance. This document constitutes ZentraScore's formal methodology disclosure, prepared in response to Aave governance community feedback requesting greater transparency before the ZentraScore integration proposal advances to an ARFC.</w:t>
      </w:r>
    </w:p>
    <w:p>
      <w:pPr>
        <w:spacing w:after="120" w:before="0"/>
      </w:pPr>
      <w:r>
        <w:t xml:space="preserve"/>
      </w:r>
    </w:p>
    <w:p>
      <w:pPr>
        <w:pBdr>
          <w:top w:val="single" w:color="B8CCE4" w:sz="1"/>
          <w:left w:val="thick" w:color="2E75B6" w:sz="16"/>
          <w:bottom w:val="single" w:color="B8CCE4" w:sz="1"/>
          <w:right w:val="single" w:color="B8CCE4" w:sz="1"/>
        </w:pBdr>
        <w:shd w:fill="D5E8F0" w:val="clear"/>
        <w:spacing w:after="160" w:before="160"/>
        <w:ind w:left="360" w:right="360"/>
      </w:pPr>
      <w:r>
        <w:rPr>
          <w:rFonts w:ascii="Arial" w:cs="Arial" w:eastAsia="Arial" w:hAnsi="Arial"/>
          <w:i/>
          <w:iCs/>
          <w:color w:val="1A3C5E"/>
          <w:sz w:val="21"/>
          <w:szCs w:val="21"/>
        </w:rPr>
        <w:t xml:space="preserve">ZentraScore uses a weighted linear scoring model. It is not a black-box machine learning classifier. All input data is fully on-chain and publicly verifiable by any party. There are no off-chain data sources, no identity inputs, and no private oracle feeds.</w:t>
      </w:r>
    </w:p>
    <w:p>
      <w:pPr>
        <w:spacing w:after="120" w:before="0"/>
      </w:pPr>
      <w:r>
        <w:t xml:space="preserve"/>
      </w:r>
    </w:p>
    <w:p>
      <w:pPr>
        <w:spacing w:after="120" w:before="80"/>
      </w:pPr>
      <w:r>
        <w:rPr>
          <w:rFonts w:ascii="Arial" w:cs="Arial" w:eastAsia="Arial" w:hAnsi="Arial"/>
          <w:color w:val="1A1A1A"/>
          <w:sz w:val="22"/>
          <w:szCs w:val="22"/>
        </w:rPr>
        <w:t xml:space="preserve">This document covers the following:</w:t>
      </w:r>
    </w:p>
    <w:p>
      <w:pPr>
        <w:pStyle w:val="ListParagraph"/>
        <w:numPr>
          <w:ilvl w:val="0"/>
          <w:numId w:val="2"/>
        </w:numPr>
        <w:spacing w:after="60" w:before="60"/>
      </w:pPr>
      <w:r>
        <w:rPr>
          <w:rFonts w:ascii="Arial" w:cs="Arial" w:eastAsia="Arial" w:hAnsi="Arial"/>
          <w:color w:val="1A1A1A"/>
          <w:sz w:val="22"/>
          <w:szCs w:val="22"/>
        </w:rPr>
        <w:t xml:space="preserve">The complete feature list — all six scoring factors, their data sources, and normalization methods</w:t>
      </w:r>
    </w:p>
    <w:p>
      <w:pPr>
        <w:pStyle w:val="ListParagraph"/>
        <w:numPr>
          <w:ilvl w:val="0"/>
          <w:numId w:val="2"/>
        </w:numPr>
        <w:spacing w:after="60" w:before="60"/>
      </w:pPr>
      <w:r>
        <w:rPr>
          <w:rFonts w:ascii="Arial" w:cs="Arial" w:eastAsia="Arial" w:hAnsi="Arial"/>
          <w:color w:val="1A1A1A"/>
          <w:sz w:val="22"/>
          <w:szCs w:val="22"/>
        </w:rPr>
        <w:t xml:space="preserve">The model architecture — the functional form, weight structure, and scoring range</w:t>
      </w:r>
    </w:p>
    <w:p>
      <w:pPr>
        <w:pStyle w:val="ListParagraph"/>
        <w:numPr>
          <w:ilvl w:val="0"/>
          <w:numId w:val="2"/>
        </w:numPr>
        <w:spacing w:after="60" w:before="60"/>
      </w:pPr>
      <w:r>
        <w:rPr>
          <w:rFonts w:ascii="Arial" w:cs="Arial" w:eastAsia="Arial" w:hAnsi="Arial"/>
          <w:color w:val="1A1A1A"/>
          <w:sz w:val="22"/>
          <w:szCs w:val="22"/>
        </w:rPr>
        <w:t xml:space="preserve">The oracle lifecycle — update cadence, trigger events, TTL, and staleness handling</w:t>
      </w:r>
    </w:p>
    <w:p>
      <w:pPr>
        <w:pStyle w:val="ListParagraph"/>
        <w:numPr>
          <w:ilvl w:val="0"/>
          <w:numId w:val="2"/>
        </w:numPr>
        <w:spacing w:after="60" w:before="60"/>
      </w:pPr>
      <w:r>
        <w:rPr>
          <w:rFonts w:ascii="Arial" w:cs="Arial" w:eastAsia="Arial" w:hAnsi="Arial"/>
          <w:color w:val="1A1A1A"/>
          <w:sz w:val="22"/>
          <w:szCs w:val="22"/>
        </w:rPr>
        <w:t xml:space="preserve">The anti-fraud and anti-manipulation layer — Sybil detection, wash-repayment analysis, and anomaly scoring</w:t>
      </w:r>
    </w:p>
    <w:p>
      <w:pPr>
        <w:pStyle w:val="ListParagraph"/>
        <w:numPr>
          <w:ilvl w:val="0"/>
          <w:numId w:val="2"/>
        </w:numPr>
        <w:spacing w:after="60" w:before="60"/>
      </w:pPr>
      <w:r>
        <w:rPr>
          <w:rFonts w:ascii="Arial" w:cs="Arial" w:eastAsia="Arial" w:hAnsi="Arial"/>
          <w:color w:val="1A1A1A"/>
          <w:sz w:val="22"/>
          <w:szCs w:val="22"/>
        </w:rPr>
        <w:t xml:space="preserve">Known failure modes — explicit scenarios where the model is expected to underperform, with mitigations</w:t>
      </w:r>
    </w:p>
    <w:p>
      <w:pPr>
        <w:pStyle w:val="ListParagraph"/>
        <w:numPr>
          <w:ilvl w:val="0"/>
          <w:numId w:val="2"/>
        </w:numPr>
        <w:spacing w:after="60" w:before="60"/>
      </w:pPr>
      <w:r>
        <w:rPr>
          <w:rFonts w:ascii="Arial" w:cs="Arial" w:eastAsia="Arial" w:hAnsi="Arial"/>
          <w:color w:val="1A1A1A"/>
          <w:sz w:val="22"/>
          <w:szCs w:val="22"/>
        </w:rPr>
        <w:t xml:space="preserve">Governance controls — the on-chain parameters Aave governance will control in Phase 1</w:t>
      </w:r>
    </w:p>
    <w:p>
      <w:pPr>
        <w:pStyle w:val="ListParagraph"/>
        <w:numPr>
          <w:ilvl w:val="0"/>
          <w:numId w:val="2"/>
        </w:numPr>
        <w:spacing w:after="60" w:before="60"/>
      </w:pPr>
      <w:r>
        <w:rPr>
          <w:rFonts w:ascii="Arial" w:cs="Arial" w:eastAsia="Arial" w:hAnsi="Arial"/>
          <w:color w:val="1A1A1A"/>
          <w:sz w:val="22"/>
          <w:szCs w:val="22"/>
        </w:rPr>
        <w:t xml:space="preserve">Versioning and change management — the notice and freeze process for any model updates</w:t>
      </w:r>
    </w:p>
    <w:p>
      <w:pPr>
        <w:pStyle w:val="ListParagraph"/>
        <w:numPr>
          <w:ilvl w:val="0"/>
          <w:numId w:val="2"/>
        </w:numPr>
        <w:spacing w:after="60" w:before="60"/>
      </w:pPr>
      <w:r>
        <w:rPr>
          <w:rFonts w:ascii="Arial" w:cs="Arial" w:eastAsia="Arial" w:hAnsi="Arial"/>
          <w:color w:val="1A1A1A"/>
          <w:sz w:val="22"/>
          <w:szCs w:val="22"/>
        </w:rPr>
        <w:t xml:space="preserve">Independent verifiability — how any party can audit ZentraScore's outputs</w:t>
      </w:r>
    </w:p>
    <w:p>
      <w:pPr>
        <w:spacing w:after="120" w:before="0"/>
      </w:pPr>
      <w:r>
        <w:t xml:space="preserve"/>
      </w:r>
    </w:p>
    <w:p>
      <w:pPr>
        <w:spacing w:after="120" w:before="80"/>
      </w:pPr>
      <w:r>
        <w:rPr>
          <w:rFonts w:ascii="Arial" w:cs="Arial" w:eastAsia="Arial" w:hAnsi="Arial"/>
          <w:color w:val="1A1A1A"/>
          <w:sz w:val="22"/>
          <w:szCs w:val="22"/>
        </w:rPr>
        <w:t xml:space="preserve">This document is versioned at v1.0 and will be updated in advance of any material methodology change, following the versioning protocol described in Section 7.</w:t>
      </w:r>
    </w:p>
    <w:p>
      <w:pPr>
        <w:pStyle w:val="Heading1"/>
        <w:pBdr>
          <w:bottom w:val="single" w:color="2E75B6" w:sz="8" w:space="6"/>
        </w:pBdr>
        <w:spacing w:after="160" w:before="360"/>
      </w:pPr>
      <w:r>
        <w:rPr>
          <w:rFonts w:ascii="Arial" w:cs="Arial" w:eastAsia="Arial" w:hAnsi="Arial"/>
          <w:b/>
          <w:bCs/>
          <w:color w:val="1A3C5E"/>
          <w:sz w:val="32"/>
          <w:szCs w:val="32"/>
        </w:rPr>
        <w:t xml:space="preserve">2.  Scoring Model</w:t>
      </w:r>
    </w:p>
    <w:p>
      <w:pPr>
        <w:pStyle w:val="Heading2"/>
        <w:spacing w:after="120" w:before="280"/>
      </w:pPr>
      <w:r>
        <w:rPr>
          <w:rFonts w:ascii="Arial" w:cs="Arial" w:eastAsia="Arial" w:hAnsi="Arial"/>
          <w:b/>
          <w:bCs/>
          <w:color w:val="2E75B6"/>
          <w:sz w:val="26"/>
          <w:szCs w:val="26"/>
        </w:rPr>
        <w:t xml:space="preserve">2.1  Score Range and Functional Form</w:t>
      </w:r>
    </w:p>
    <w:p>
      <w:pPr>
        <w:spacing w:after="120" w:before="80"/>
      </w:pPr>
      <w:r>
        <w:rPr>
          <w:rFonts w:ascii="Arial" w:cs="Arial" w:eastAsia="Arial" w:hAnsi="Arial"/>
          <w:color w:val="1A1A1A"/>
          <w:sz w:val="22"/>
          <w:szCs w:val="22"/>
        </w:rPr>
        <w:t xml:space="preserve">ZentraScore assigns wallet addresses a score in the range 300 to 850, mirroring the familiar FICO scale for intuitive interpretation. The functional form is a weighted linear combination of six normalized sub-scores:</w:t>
      </w:r>
    </w:p>
    <w:p>
      <w:pPr>
        <w:spacing w:after="120" w:before="0"/>
      </w:pPr>
      <w:r>
        <w:t xml:space="preserve"/>
      </w:r>
    </w:p>
    <w:p>
      <w:pPr>
        <w:pBdr>
          <w:top w:val="single" w:color="B8CCE4" w:sz="1"/>
          <w:left w:val="thick" w:color="2E75B6" w:sz="12"/>
          <w:bottom w:val="single" w:color="B8CCE4" w:sz="1"/>
          <w:right w:val="single" w:color="B8CCE4" w:sz="1"/>
        </w:pBdr>
        <w:shd w:fill="F4F6F8" w:val="clear"/>
        <w:spacing w:after="120" w:before="120"/>
        <w:ind w:left="480"/>
      </w:pPr>
      <w:r>
        <w:rPr>
          <w:rFonts w:ascii="Courier New" w:cs="Courier New" w:eastAsia="Courier New" w:hAnsi="Courier New"/>
          <w:color w:val="1A1A2E"/>
          <w:sz w:val="18"/>
          <w:szCs w:val="18"/>
        </w:rPr>
        <w:t xml:space="preserve">Final Score = 300 + 550 x SUM(w_i x normalizedFactor_i)</w:t>
        <w:br/>
        <w:t xml:space="preserve"/>
        <w:br/>
        <w:t xml:space="preserve">Where:</w:t>
        <w:br/>
        <w:t xml:space="preserve">  300        = minimum score floor</w:t>
        <w:br/>
        <w:t xml:space="preserve">  550        = score range (300 to 850)</w:t>
        <w:br/>
        <w:t xml:space="preserve">  w_i        = weight for factor i  (all weights sum to 1.0)</w:t>
        <w:br/>
        <w:t xml:space="preserve">  normalizedFactor_i = sub-score for factor i, range [0.0, 1.0]</w:t>
      </w:r>
    </w:p>
    <w:p>
      <w:pPr>
        <w:spacing w:after="120" w:before="0"/>
      </w:pPr>
      <w:r>
        <w:t xml:space="preserve"/>
      </w:r>
    </w:p>
    <w:p>
      <w:pPr>
        <w:spacing w:after="120" w:before="80"/>
      </w:pPr>
      <w:r>
        <w:rPr>
          <w:rFonts w:ascii="Arial" w:cs="Arial" w:eastAsia="Arial" w:hAnsi="Arial"/>
          <w:color w:val="1A1A1A"/>
          <w:sz w:val="22"/>
          <w:szCs w:val="22"/>
        </w:rPr>
        <w:t xml:space="preserve">Each normalizedFactor_i is computed independently from on-chain data and then scaled to [0, 1] before entering the final formula. The linear model is intentional: it is transparent, auditable, and produces no hidden interactions between variables that could be exploited by sophisticated actors.</w:t>
      </w:r>
    </w:p>
    <w:p>
      <w:pPr>
        <w:spacing w:after="120" w:before="0"/>
      </w:pPr>
      <w:r>
        <w:t xml:space="preserve"/>
      </w:r>
    </w:p>
    <w:p>
      <w:pPr>
        <w:spacing w:after="120" w:before="80"/>
      </w:pPr>
      <w:r>
        <w:rPr>
          <w:rFonts w:ascii="Arial" w:cs="Arial" w:eastAsia="Arial" w:hAnsi="Arial"/>
          <w:b/>
          <w:bCs/>
          <w:color w:val="1A3C5E"/>
          <w:sz w:val="22"/>
          <w:szCs w:val="22"/>
        </w:rPr>
        <w:t xml:space="preserve">Weight disclosure: </w:t>
      </w:r>
      <w:r>
        <w:rPr>
          <w:rFonts w:ascii="Arial" w:cs="Arial" w:eastAsia="Arial" w:hAnsi="Arial"/>
          <w:color w:val="1A1A1A"/>
          <w:sz w:val="22"/>
          <w:szCs w:val="22"/>
        </w:rPr>
        <w:t xml:space="preserve">ZentraScore's factor weights are currently proprietary. We commit to making them available for full review by Chaos Labs and LlamaRisk under a formal data agreement as part of the ARFC risk assessment process. We are also open to disclosing them publicly under a governance-ratified confidentiality framework if the community determines this is necessary for the integration to proceed.</w:t>
      </w:r>
    </w:p>
    <w:p>
      <w:pPr>
        <w:pStyle w:val="Heading2"/>
        <w:spacing w:after="120" w:before="280"/>
      </w:pPr>
      <w:r>
        <w:rPr>
          <w:rFonts w:ascii="Arial" w:cs="Arial" w:eastAsia="Arial" w:hAnsi="Arial"/>
          <w:b/>
          <w:bCs/>
          <w:color w:val="2E75B6"/>
          <w:sz w:val="26"/>
          <w:szCs w:val="26"/>
        </w:rPr>
        <w:t xml:space="preserve">2.2  Scoring Factors</w:t>
      </w:r>
    </w:p>
    <w:p>
      <w:pPr>
        <w:spacing w:after="120" w:before="80"/>
      </w:pPr>
      <w:r>
        <w:rPr>
          <w:rFonts w:ascii="Arial" w:cs="Arial" w:eastAsia="Arial" w:hAnsi="Arial"/>
          <w:color w:val="1A1A1A"/>
          <w:sz w:val="22"/>
          <w:szCs w:val="22"/>
        </w:rPr>
        <w:t xml:space="preserve">The table below documents all six scoring factors, their relative weights, data sources, and what each factor measures. No additional hidden factors exist beyond those listed below.</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900"/>
        <w:gridCol w:w="2260"/>
        <w:gridCol w:w="4000"/>
      </w:tblGrid>
      <w:tr>
        <w:trPr>
          <w:tblHeader/>
        </w:trPr>
        <w:tc>
          <w:tcPr>
            <w:tcW w:type="dxa" w:w="22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Factor</w:t>
            </w:r>
          </w:p>
        </w:tc>
        <w:tc>
          <w:tcPr>
            <w:tcW w:type="dxa" w:w="9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Weight</w:t>
            </w:r>
          </w:p>
        </w:tc>
        <w:tc>
          <w:tcPr>
            <w:tcW w:type="dxa" w:w="226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Data Sources</w:t>
            </w:r>
          </w:p>
        </w:tc>
        <w:tc>
          <w:tcPr>
            <w:tcW w:type="dxa" w:w="40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What It Measures</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Repayment History</w:t>
            </w:r>
          </w:p>
        </w:tc>
        <w:tc>
          <w:tcPr>
            <w:tcW w:type="dxa" w:w="9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vAlign w:val="center"/>
          </w:tcPr>
          <w:p>
            <w:pPr>
              <w:jc w:val="center"/>
            </w:pPr>
            <w:r>
              <w:rPr>
                <w:rFonts w:ascii="Arial" w:cs="Arial" w:eastAsia="Arial" w:hAnsi="Arial"/>
                <w:b/>
                <w:bCs/>
                <w:color w:val="2E75B6"/>
                <w:sz w:val="20"/>
                <w:szCs w:val="20"/>
              </w:rPr>
              <w:t xml:space="preserve">35%</w:t>
            </w:r>
          </w:p>
        </w:tc>
        <w:tc>
          <w:tcPr>
            <w:tcW w:type="dxa" w:w="22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Borrow/Repay events across all 18+ indexed protocols</w:t>
            </w:r>
          </w:p>
        </w:tc>
        <w:tc>
          <w:tcPr>
            <w:tcW w:type="dxa" w:w="40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On-time repayment rate, proportion of loans repaid in full, consistency across protocols and asset types</w:t>
            </w:r>
          </w:p>
        </w:tc>
      </w:tr>
      <w:tr>
        <w:tc>
          <w:tcPr>
            <w:tcW w:type="dxa" w:w="2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Liquidation Record</w:t>
            </w:r>
          </w:p>
        </w:tc>
        <w:tc>
          <w:tcPr>
            <w:tcW w:type="dxa" w:w="9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vAlign w:val="center"/>
          </w:tcPr>
          <w:p>
            <w:pPr>
              <w:jc w:val="center"/>
            </w:pPr>
            <w:r>
              <w:rPr>
                <w:rFonts w:ascii="Arial" w:cs="Arial" w:eastAsia="Arial" w:hAnsi="Arial"/>
                <w:b/>
                <w:bCs/>
                <w:color w:val="2E75B6"/>
                <w:sz w:val="20"/>
                <w:szCs w:val="20"/>
              </w:rPr>
              <w:t xml:space="preserve">20%</w:t>
            </w:r>
          </w:p>
        </w:tc>
        <w:tc>
          <w:tcPr>
            <w:tcW w:type="dxa" w:w="22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LiquidationCall() events on all indexed lending protocols</w:t>
            </w:r>
          </w:p>
        </w:tc>
        <w:tc>
          <w:tcPr>
            <w:tcW w:type="dxa" w:w="40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Frequency and severity of liquidations; partial vs. full liquidations; recovery pattern post-liquidation</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Wallet Age</w:t>
            </w:r>
          </w:p>
        </w:tc>
        <w:tc>
          <w:tcPr>
            <w:tcW w:type="dxa" w:w="9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vAlign w:val="center"/>
          </w:tcPr>
          <w:p>
            <w:pPr>
              <w:jc w:val="center"/>
            </w:pPr>
            <w:r>
              <w:rPr>
                <w:rFonts w:ascii="Arial" w:cs="Arial" w:eastAsia="Arial" w:hAnsi="Arial"/>
                <w:b/>
                <w:bCs/>
                <w:color w:val="2E75B6"/>
                <w:sz w:val="20"/>
                <w:szCs w:val="20"/>
              </w:rPr>
              <w:t xml:space="preserve">15%</w:t>
            </w:r>
          </w:p>
        </w:tc>
        <w:tc>
          <w:tcPr>
            <w:tcW w:type="dxa" w:w="22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First indexed transaction timestamp; DeFi-specific first interaction date</w:t>
            </w:r>
          </w:p>
        </w:tc>
        <w:tc>
          <w:tcPr>
            <w:tcW w:type="dxa" w:w="40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Length of active DeFi participation; consistency over time; not raw wallet age but active engagement</w:t>
            </w:r>
          </w:p>
        </w:tc>
      </w:tr>
      <w:tr>
        <w:tc>
          <w:tcPr>
            <w:tcW w:type="dxa" w:w="2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Asset Diversity</w:t>
            </w:r>
          </w:p>
        </w:tc>
        <w:tc>
          <w:tcPr>
            <w:tcW w:type="dxa" w:w="9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vAlign w:val="center"/>
          </w:tcPr>
          <w:p>
            <w:pPr>
              <w:jc w:val="center"/>
            </w:pPr>
            <w:r>
              <w:rPr>
                <w:rFonts w:ascii="Arial" w:cs="Arial" w:eastAsia="Arial" w:hAnsi="Arial"/>
                <w:b/>
                <w:bCs/>
                <w:color w:val="2E75B6"/>
                <w:sz w:val="20"/>
                <w:szCs w:val="20"/>
              </w:rPr>
              <w:t xml:space="preserve">15%</w:t>
            </w:r>
          </w:p>
        </w:tc>
        <w:tc>
          <w:tcPr>
            <w:tcW w:type="dxa" w:w="22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Borrow and collateral positions across all indexed protocols</w:t>
            </w:r>
          </w:p>
        </w:tc>
        <w:tc>
          <w:tcPr>
            <w:tcW w:type="dxa" w:w="40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Breadth of assets borrowed and held; flash loans explicitly excluded from this calculation</w:t>
            </w:r>
          </w:p>
        </w:tc>
      </w:tr>
      <w:tr>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Protocol Breadth</w:t>
            </w:r>
          </w:p>
        </w:tc>
        <w:tc>
          <w:tcPr>
            <w:tcW w:type="dxa" w:w="9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vAlign w:val="center"/>
          </w:tcPr>
          <w:p>
            <w:pPr>
              <w:jc w:val="center"/>
            </w:pPr>
            <w:r>
              <w:rPr>
                <w:rFonts w:ascii="Arial" w:cs="Arial" w:eastAsia="Arial" w:hAnsi="Arial"/>
                <w:b/>
                <w:bCs/>
                <w:color w:val="2E75B6"/>
                <w:sz w:val="20"/>
                <w:szCs w:val="20"/>
              </w:rPr>
              <w:t xml:space="preserve">10%</w:t>
            </w:r>
          </w:p>
        </w:tc>
        <w:tc>
          <w:tcPr>
            <w:tcW w:type="dxa" w:w="22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Interaction events across indexed protocol set</w:t>
            </w:r>
          </w:p>
        </w:tc>
        <w:tc>
          <w:tcPr>
            <w:tcW w:type="dxa" w:w="40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Number of distinct reputable protocols actively used; cross-ecosystem participation</w:t>
            </w:r>
          </w:p>
        </w:tc>
      </w:tr>
      <w:tr>
        <w:tc>
          <w:tcPr>
            <w:tcW w:type="dxa" w:w="2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Activity Stability</w:t>
            </w:r>
          </w:p>
        </w:tc>
        <w:tc>
          <w:tcPr>
            <w:tcW w:type="dxa" w:w="9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vAlign w:val="center"/>
          </w:tcPr>
          <w:p>
            <w:pPr>
              <w:jc w:val="center"/>
            </w:pPr>
            <w:r>
              <w:rPr>
                <w:rFonts w:ascii="Arial" w:cs="Arial" w:eastAsia="Arial" w:hAnsi="Arial"/>
                <w:b/>
                <w:bCs/>
                <w:color w:val="2E75B6"/>
                <w:sz w:val="20"/>
                <w:szCs w:val="20"/>
              </w:rPr>
              <w:t xml:space="preserve">5%</w:t>
            </w:r>
          </w:p>
        </w:tc>
        <w:tc>
          <w:tcPr>
            <w:tcW w:type="dxa" w:w="22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Temporal distribution of all indexed events</w:t>
            </w:r>
          </w:p>
        </w:tc>
        <w:tc>
          <w:tcPr>
            <w:tcW w:type="dxa" w:w="40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Regularity and consistency of activity patterns; flags sudden behavioral shifts</w:t>
            </w:r>
          </w:p>
        </w:tc>
      </w:tr>
    </w:tbl>
    <w:p>
      <w:pPr>
        <w:spacing w:after="120" w:before="0"/>
      </w:pPr>
      <w:r>
        <w:t xml:space="preserve"/>
      </w:r>
    </w:p>
    <w:p>
      <w:pPr>
        <w:pStyle w:val="Heading2"/>
        <w:spacing w:after="120" w:before="280"/>
      </w:pPr>
      <w:r>
        <w:rPr>
          <w:rFonts w:ascii="Arial" w:cs="Arial" w:eastAsia="Arial" w:hAnsi="Arial"/>
          <w:b/>
          <w:bCs/>
          <w:color w:val="2E75B6"/>
          <w:sz w:val="26"/>
          <w:szCs w:val="26"/>
        </w:rPr>
        <w:t xml:space="preserve">2.3  Score Bands and Aave Phase 1 Rate Discounts</w:t>
      </w:r>
    </w:p>
    <w:p>
      <w:pPr>
        <w:spacing w:after="120" w:before="80"/>
      </w:pPr>
      <w:r>
        <w:rPr>
          <w:rFonts w:ascii="Arial" w:cs="Arial" w:eastAsia="Arial" w:hAnsi="Arial"/>
          <w:color w:val="1A1A1A"/>
          <w:sz w:val="22"/>
          <w:szCs w:val="22"/>
        </w:rPr>
        <w:t xml:space="preserve">The following table shows the score band definitions and the proposed APR discount structure for Aave V3 Phase 1. These discounts apply to USDC stablecoin borrowing markets only and represent a hard ceiling enforced by the maxDiscount governance parameter described in Section 6.</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200"/>
        <w:gridCol w:w="2200"/>
        <w:gridCol w:w="3400"/>
      </w:tblGrid>
      <w:tr>
        <w:trPr>
          <w:tblHeader/>
        </w:trPr>
        <w:tc>
          <w:tcPr>
            <w:tcW w:type="dxa" w:w="156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Score Range</w:t>
            </w:r>
          </w:p>
        </w:tc>
        <w:tc>
          <w:tcPr>
            <w:tcW w:type="dxa" w:w="22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Label</w:t>
            </w:r>
          </w:p>
        </w:tc>
        <w:tc>
          <w:tcPr>
            <w:tcW w:type="dxa" w:w="22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Aave Rate Discount (Phase 1)</w:t>
            </w:r>
          </w:p>
        </w:tc>
        <w:tc>
          <w:tcPr>
            <w:tcW w:type="dxa" w:w="34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Borrower Profile</w:t>
            </w:r>
          </w:p>
        </w:tc>
      </w:tr>
      <w:tr>
        <w:tc>
          <w:tcPr>
            <w:tcW w:type="dxa" w:w="15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1E8449"/>
                <w:sz w:val="20"/>
                <w:szCs w:val="20"/>
              </w:rPr>
              <w:t xml:space="preserve">740 – 850</w:t>
            </w:r>
          </w:p>
        </w:tc>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Exceptional / Very Good</w:t>
            </w:r>
          </w:p>
        </w:tc>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−1.5% APR</w:t>
            </w:r>
          </w:p>
        </w:tc>
        <w:tc>
          <w:tcPr>
            <w:tcW w:type="dxa" w:w="34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3+ years DeFi history, zero or near-zero liquidations, active across 5+ protocols</w:t>
            </w:r>
          </w:p>
        </w:tc>
      </w:tr>
      <w:tr>
        <w:tc>
          <w:tcPr>
            <w:tcW w:type="dxa" w:w="15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bCs/>
                <w:color w:val="2E75B6"/>
                <w:sz w:val="20"/>
                <w:szCs w:val="20"/>
              </w:rPr>
              <w:t xml:space="preserve">680 – 739</w:t>
            </w:r>
          </w:p>
        </w:tc>
        <w:tc>
          <w:tcPr>
            <w:tcW w:type="dxa" w:w="2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Good</w:t>
            </w:r>
          </w:p>
        </w:tc>
        <w:tc>
          <w:tcPr>
            <w:tcW w:type="dxa" w:w="2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−0.75% APR</w:t>
            </w:r>
          </w:p>
        </w:tc>
        <w:tc>
          <w:tcPr>
            <w:tcW w:type="dxa" w:w="34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2+ years, rare liquidations, consistent repayment across multiple protocols</w:t>
            </w:r>
          </w:p>
        </w:tc>
      </w:tr>
      <w:tr>
        <w:tc>
          <w:tcPr>
            <w:tcW w:type="dxa" w:w="15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1A1A1A"/>
                <w:sz w:val="20"/>
                <w:szCs w:val="20"/>
              </w:rPr>
              <w:t xml:space="preserve">580 – 679</w:t>
            </w:r>
          </w:p>
        </w:tc>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Fair</w:t>
            </w:r>
          </w:p>
        </w:tc>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No discount (baseline)</w:t>
            </w:r>
          </w:p>
        </w:tc>
        <w:tc>
          <w:tcPr>
            <w:tcW w:type="dxa" w:w="34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Moderate history, some gaps or minor liquidation events</w:t>
            </w:r>
          </w:p>
        </w:tc>
      </w:tr>
      <w:tr>
        <w:tc>
          <w:tcPr>
            <w:tcW w:type="dxa" w:w="15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bCs/>
                <w:color w:val="1A1A1A"/>
                <w:sz w:val="20"/>
                <w:szCs w:val="20"/>
              </w:rPr>
              <w:t xml:space="preserve">300 – 579</w:t>
            </w:r>
          </w:p>
        </w:tc>
        <w:tc>
          <w:tcPr>
            <w:tcW w:type="dxa" w:w="2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Poor</w:t>
            </w:r>
          </w:p>
        </w:tc>
        <w:tc>
          <w:tcPr>
            <w:tcW w:type="dxa" w:w="2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No discount (baseline)</w:t>
            </w:r>
          </w:p>
        </w:tc>
        <w:tc>
          <w:tcPr>
            <w:tcW w:type="dxa" w:w="34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Short history, multiple liquidations, or limited protocol breadth</w:t>
            </w:r>
          </w:p>
        </w:tc>
      </w:tr>
      <w:tr>
        <w:tc>
          <w:tcPr>
            <w:tcW w:type="dxa" w:w="15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888888"/>
                <w:sz w:val="20"/>
                <w:szCs w:val="20"/>
              </w:rPr>
              <w:t xml:space="preserve">Unscored</w:t>
            </w:r>
          </w:p>
        </w:tc>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New / Insufficient History</w:t>
            </w:r>
          </w:p>
        </w:tc>
        <w:tc>
          <w:tcPr>
            <w:tcW w:type="dxa" w:w="2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No discount, no penalty</w:t>
            </w:r>
          </w:p>
        </w:tc>
        <w:tc>
          <w:tcPr>
            <w:tcW w:type="dxa" w:w="34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Wallet does not meet minimum activity threshold for scoring</w:t>
            </w:r>
          </w:p>
        </w:tc>
      </w:tr>
    </w:tbl>
    <w:p>
      <w:pPr>
        <w:pStyle w:val="Heading1"/>
        <w:pBdr>
          <w:bottom w:val="single" w:color="2E75B6" w:sz="8" w:space="6"/>
        </w:pBdr>
        <w:spacing w:after="160" w:before="360"/>
      </w:pPr>
      <w:r>
        <w:rPr>
          <w:rFonts w:ascii="Arial" w:cs="Arial" w:eastAsia="Arial" w:hAnsi="Arial"/>
          <w:b/>
          <w:bCs/>
          <w:color w:val="1A3C5E"/>
          <w:sz w:val="32"/>
          <w:szCs w:val="32"/>
        </w:rPr>
        <w:t xml:space="preserve">3.  Data Sources and Coverage</w:t>
      </w:r>
    </w:p>
    <w:p>
      <w:pPr>
        <w:pStyle w:val="Heading2"/>
        <w:spacing w:after="120" w:before="280"/>
      </w:pPr>
      <w:r>
        <w:rPr>
          <w:rFonts w:ascii="Arial" w:cs="Arial" w:eastAsia="Arial" w:hAnsi="Arial"/>
          <w:b/>
          <w:bCs/>
          <w:color w:val="2E75B6"/>
          <w:sz w:val="26"/>
          <w:szCs w:val="26"/>
        </w:rPr>
        <w:t xml:space="preserve">3.1  Indexed Protocols</w:t>
      </w:r>
    </w:p>
    <w:p>
      <w:pPr>
        <w:spacing w:after="120" w:before="80"/>
      </w:pPr>
      <w:r>
        <w:rPr>
          <w:rFonts w:ascii="Arial" w:cs="Arial" w:eastAsia="Arial" w:hAnsi="Arial"/>
          <w:color w:val="1A1A1A"/>
          <w:sz w:val="22"/>
          <w:szCs w:val="22"/>
        </w:rPr>
        <w:t xml:space="preserve">ZentraScore indexes on-chain events from the following protocols. Coverage is as of v1.0 (May 2026). New protocol additions constitute a non-breaking change and are announced on the governance forum with 14 days notice.</w:t>
      </w:r>
    </w:p>
    <w:p>
      <w:pPr>
        <w:spacing w:after="120" w:before="0"/>
      </w:pPr>
      <w:r>
        <w:t xml:space="preserve"/>
      </w:r>
    </w:p>
    <w:p>
      <w:pPr>
        <w:pStyle w:val="ListParagraph"/>
        <w:numPr>
          <w:ilvl w:val="0"/>
          <w:numId w:val="2"/>
        </w:numPr>
        <w:spacing w:after="60" w:before="60"/>
      </w:pPr>
      <w:r>
        <w:rPr>
          <w:rFonts w:ascii="Arial" w:cs="Arial" w:eastAsia="Arial" w:hAnsi="Arial"/>
          <w:color w:val="1A1A1A"/>
          <w:sz w:val="22"/>
          <w:szCs w:val="22"/>
        </w:rPr>
        <w:t xml:space="preserve">Aave V2 and V3 — all active markets on Ethereum, Arbitrum, Base, Avalanche</w:t>
      </w:r>
    </w:p>
    <w:p>
      <w:pPr>
        <w:pStyle w:val="ListParagraph"/>
        <w:numPr>
          <w:ilvl w:val="0"/>
          <w:numId w:val="2"/>
        </w:numPr>
        <w:spacing w:after="60" w:before="60"/>
      </w:pPr>
      <w:r>
        <w:rPr>
          <w:rFonts w:ascii="Arial" w:cs="Arial" w:eastAsia="Arial" w:hAnsi="Arial"/>
          <w:color w:val="1A1A1A"/>
          <w:sz w:val="22"/>
          <w:szCs w:val="22"/>
        </w:rPr>
        <w:t xml:space="preserve">Compound II and Compound III (all active Comets)</w:t>
      </w:r>
    </w:p>
    <w:p>
      <w:pPr>
        <w:pStyle w:val="ListParagraph"/>
        <w:numPr>
          <w:ilvl w:val="0"/>
          <w:numId w:val="2"/>
        </w:numPr>
        <w:spacing w:after="60" w:before="60"/>
      </w:pPr>
      <w:r>
        <w:rPr>
          <w:rFonts w:ascii="Arial" w:cs="Arial" w:eastAsia="Arial" w:hAnsi="Arial"/>
          <w:color w:val="1A1A1A"/>
          <w:sz w:val="22"/>
          <w:szCs w:val="22"/>
        </w:rPr>
        <w:t xml:space="preserve">MakerDAO / SparkLend — DSS core and Spark lending markets</w:t>
      </w:r>
    </w:p>
    <w:p>
      <w:pPr>
        <w:pStyle w:val="ListParagraph"/>
        <w:numPr>
          <w:ilvl w:val="0"/>
          <w:numId w:val="2"/>
        </w:numPr>
        <w:spacing w:after="60" w:before="60"/>
      </w:pPr>
      <w:r>
        <w:rPr>
          <w:rFonts w:ascii="Arial" w:cs="Arial" w:eastAsia="Arial" w:hAnsi="Arial"/>
          <w:color w:val="1A1A1A"/>
          <w:sz w:val="22"/>
          <w:szCs w:val="22"/>
        </w:rPr>
        <w:t xml:space="preserve">Uniswap V3 — LP position and fee data used for asset diversity signal only</w:t>
      </w:r>
    </w:p>
    <w:p>
      <w:pPr>
        <w:pStyle w:val="ListParagraph"/>
        <w:numPr>
          <w:ilvl w:val="0"/>
          <w:numId w:val="2"/>
        </w:numPr>
        <w:spacing w:after="60" w:before="60"/>
      </w:pPr>
      <w:r>
        <w:rPr>
          <w:rFonts w:ascii="Arial" w:cs="Arial" w:eastAsia="Arial" w:hAnsi="Arial"/>
          <w:color w:val="1A1A1A"/>
          <w:sz w:val="22"/>
          <w:szCs w:val="22"/>
        </w:rPr>
        <w:t xml:space="preserve">Curve Finance — gauge and pool interactions for asset diversity signal</w:t>
      </w:r>
    </w:p>
    <w:p>
      <w:pPr>
        <w:pStyle w:val="ListParagraph"/>
        <w:numPr>
          <w:ilvl w:val="0"/>
          <w:numId w:val="2"/>
        </w:numPr>
        <w:spacing w:after="60" w:before="60"/>
      </w:pPr>
      <w:r>
        <w:rPr>
          <w:rFonts w:ascii="Arial" w:cs="Arial" w:eastAsia="Arial" w:hAnsi="Arial"/>
          <w:color w:val="1A1A1A"/>
          <w:sz w:val="22"/>
          <w:szCs w:val="22"/>
        </w:rPr>
        <w:t xml:space="preserve">Morpho — Morpho Blue and Morpho Aave optimizer</w:t>
      </w:r>
    </w:p>
    <w:p>
      <w:pPr>
        <w:pStyle w:val="ListParagraph"/>
        <w:numPr>
          <w:ilvl w:val="0"/>
          <w:numId w:val="2"/>
        </w:numPr>
        <w:spacing w:after="60" w:before="60"/>
      </w:pPr>
      <w:r>
        <w:rPr>
          <w:rFonts w:ascii="Arial" w:cs="Arial" w:eastAsia="Arial" w:hAnsi="Arial"/>
          <w:color w:val="1A1A1A"/>
          <w:sz w:val="22"/>
          <w:szCs w:val="22"/>
        </w:rPr>
        <w:t xml:space="preserve">Balancer V2 and V3</w:t>
      </w:r>
    </w:p>
    <w:p>
      <w:pPr>
        <w:pStyle w:val="ListParagraph"/>
        <w:numPr>
          <w:ilvl w:val="0"/>
          <w:numId w:val="2"/>
        </w:numPr>
        <w:spacing w:after="60" w:before="60"/>
      </w:pPr>
      <w:r>
        <w:rPr>
          <w:rFonts w:ascii="Arial" w:cs="Arial" w:eastAsia="Arial" w:hAnsi="Arial"/>
          <w:color w:val="1A1A1A"/>
          <w:sz w:val="22"/>
          <w:szCs w:val="22"/>
        </w:rPr>
        <w:t xml:space="preserve">Euler Finance V1 (historical data) and V2</w:t>
      </w:r>
    </w:p>
    <w:p>
      <w:pPr>
        <w:pStyle w:val="ListParagraph"/>
        <w:numPr>
          <w:ilvl w:val="0"/>
          <w:numId w:val="2"/>
        </w:numPr>
        <w:spacing w:after="60" w:before="60"/>
      </w:pPr>
      <w:r>
        <w:rPr>
          <w:rFonts w:ascii="Arial" w:cs="Arial" w:eastAsia="Arial" w:hAnsi="Arial"/>
          <w:color w:val="1A1A1A"/>
          <w:sz w:val="22"/>
          <w:szCs w:val="22"/>
        </w:rPr>
        <w:t xml:space="preserve">Exactly Protocol</w:t>
      </w:r>
    </w:p>
    <w:p>
      <w:pPr>
        <w:pStyle w:val="ListParagraph"/>
        <w:numPr>
          <w:ilvl w:val="0"/>
          <w:numId w:val="2"/>
        </w:numPr>
        <w:spacing w:after="60" w:before="60"/>
      </w:pPr>
      <w:r>
        <w:rPr>
          <w:rFonts w:ascii="Arial" w:cs="Arial" w:eastAsia="Arial" w:hAnsi="Arial"/>
          <w:color w:val="1A1A1A"/>
          <w:sz w:val="22"/>
          <w:szCs w:val="22"/>
        </w:rPr>
        <w:t xml:space="preserve">Silo Finance</w:t>
      </w:r>
    </w:p>
    <w:p>
      <w:pPr>
        <w:pStyle w:val="ListParagraph"/>
        <w:numPr>
          <w:ilvl w:val="0"/>
          <w:numId w:val="2"/>
        </w:numPr>
        <w:spacing w:after="60" w:before="60"/>
      </w:pPr>
      <w:r>
        <w:rPr>
          <w:rFonts w:ascii="Arial" w:cs="Arial" w:eastAsia="Arial" w:hAnsi="Arial"/>
          <w:color w:val="1A1A1A"/>
          <w:sz w:val="22"/>
          <w:szCs w:val="22"/>
        </w:rPr>
        <w:t xml:space="preserve">Radiant Capital</w:t>
      </w:r>
    </w:p>
    <w:p>
      <w:pPr>
        <w:pStyle w:val="ListParagraph"/>
        <w:numPr>
          <w:ilvl w:val="0"/>
          <w:numId w:val="2"/>
        </w:numPr>
        <w:spacing w:after="60" w:before="60"/>
      </w:pPr>
      <w:r>
        <w:rPr>
          <w:rFonts w:ascii="Arial" w:cs="Arial" w:eastAsia="Arial" w:hAnsi="Arial"/>
          <w:color w:val="1A1A1A"/>
          <w:sz w:val="22"/>
          <w:szCs w:val="22"/>
        </w:rPr>
        <w:t xml:space="preserve">Venus Protocol (BNB Chain — imported into cross-chain score)</w:t>
      </w:r>
    </w:p>
    <w:p>
      <w:pPr>
        <w:pStyle w:val="ListParagraph"/>
        <w:numPr>
          <w:ilvl w:val="0"/>
          <w:numId w:val="2"/>
        </w:numPr>
        <w:spacing w:after="60" w:before="60"/>
      </w:pPr>
      <w:r>
        <w:rPr>
          <w:rFonts w:ascii="Arial" w:cs="Arial" w:eastAsia="Arial" w:hAnsi="Arial"/>
          <w:color w:val="1A1A1A"/>
          <w:sz w:val="22"/>
          <w:szCs w:val="22"/>
        </w:rPr>
        <w:t xml:space="preserve">Benqi (Avalanche)</w:t>
      </w:r>
    </w:p>
    <w:p>
      <w:pPr>
        <w:pStyle w:val="ListParagraph"/>
        <w:numPr>
          <w:ilvl w:val="0"/>
          <w:numId w:val="2"/>
        </w:numPr>
        <w:spacing w:after="60" w:before="60"/>
      </w:pPr>
      <w:r>
        <w:rPr>
          <w:rFonts w:ascii="Arial" w:cs="Arial" w:eastAsia="Arial" w:hAnsi="Arial"/>
          <w:color w:val="1A1A1A"/>
          <w:sz w:val="22"/>
          <w:szCs w:val="22"/>
        </w:rPr>
        <w:t xml:space="preserve">Seamless Protocol (Base)</w:t>
      </w:r>
    </w:p>
    <w:p>
      <w:pPr>
        <w:pStyle w:val="ListParagraph"/>
        <w:numPr>
          <w:ilvl w:val="0"/>
          <w:numId w:val="2"/>
        </w:numPr>
        <w:spacing w:after="60" w:before="60"/>
      </w:pPr>
      <w:r>
        <w:rPr>
          <w:rFonts w:ascii="Arial" w:cs="Arial" w:eastAsia="Arial" w:hAnsi="Arial"/>
          <w:color w:val="1A1A1A"/>
          <w:sz w:val="22"/>
          <w:szCs w:val="22"/>
        </w:rPr>
        <w:t xml:space="preserve">Moonwell (Base)</w:t>
      </w:r>
    </w:p>
    <w:p>
      <w:pPr>
        <w:pStyle w:val="ListParagraph"/>
        <w:numPr>
          <w:ilvl w:val="0"/>
          <w:numId w:val="2"/>
        </w:numPr>
        <w:spacing w:after="60" w:before="60"/>
      </w:pPr>
      <w:r>
        <w:rPr>
          <w:rFonts w:ascii="Arial" w:cs="Arial" w:eastAsia="Arial" w:hAnsi="Arial"/>
          <w:color w:val="1A1A1A"/>
          <w:sz w:val="22"/>
          <w:szCs w:val="22"/>
        </w:rPr>
        <w:t xml:space="preserve">Additional protocols: Subject to a published onboarding checklist; new additions announced with 14 days notice</w:t>
      </w:r>
    </w:p>
    <w:p>
      <w:pPr>
        <w:spacing w:after="120" w:before="0"/>
      </w:pPr>
      <w:r>
        <w:t xml:space="preserve"/>
      </w:r>
    </w:p>
    <w:p>
      <w:pPr>
        <w:pStyle w:val="Heading2"/>
        <w:spacing w:after="120" w:before="280"/>
      </w:pPr>
      <w:r>
        <w:rPr>
          <w:rFonts w:ascii="Arial" w:cs="Arial" w:eastAsia="Arial" w:hAnsi="Arial"/>
          <w:b/>
          <w:bCs/>
          <w:color w:val="2E75B6"/>
          <w:sz w:val="26"/>
          <w:szCs w:val="26"/>
        </w:rPr>
        <w:t xml:space="preserve">3.2  Indexed Chains</w:t>
      </w:r>
    </w:p>
    <w:p>
      <w:pPr>
        <w:pStyle w:val="ListParagraph"/>
        <w:numPr>
          <w:ilvl w:val="0"/>
          <w:numId w:val="2"/>
        </w:numPr>
        <w:spacing w:after="60" w:before="60"/>
      </w:pPr>
      <w:r>
        <w:rPr>
          <w:rFonts w:ascii="Arial" w:cs="Arial" w:eastAsia="Arial" w:hAnsi="Arial"/>
          <w:color w:val="1A1A1A"/>
          <w:sz w:val="22"/>
          <w:szCs w:val="22"/>
        </w:rPr>
        <w:t xml:space="preserve">Ethereum Mainnet</w:t>
      </w:r>
    </w:p>
    <w:p>
      <w:pPr>
        <w:pStyle w:val="ListParagraph"/>
        <w:numPr>
          <w:ilvl w:val="0"/>
          <w:numId w:val="2"/>
        </w:numPr>
        <w:spacing w:after="60" w:before="60"/>
      </w:pPr>
      <w:r>
        <w:rPr>
          <w:rFonts w:ascii="Arial" w:cs="Arial" w:eastAsia="Arial" w:hAnsi="Arial"/>
          <w:color w:val="1A1A1A"/>
          <w:sz w:val="22"/>
          <w:szCs w:val="22"/>
        </w:rPr>
        <w:t xml:space="preserve">Arbitrum One</w:t>
      </w:r>
    </w:p>
    <w:p>
      <w:pPr>
        <w:pStyle w:val="ListParagraph"/>
        <w:numPr>
          <w:ilvl w:val="0"/>
          <w:numId w:val="2"/>
        </w:numPr>
        <w:spacing w:after="60" w:before="60"/>
      </w:pPr>
      <w:r>
        <w:rPr>
          <w:rFonts w:ascii="Arial" w:cs="Arial" w:eastAsia="Arial" w:hAnsi="Arial"/>
          <w:color w:val="1A1A1A"/>
          <w:sz w:val="22"/>
          <w:szCs w:val="22"/>
        </w:rPr>
        <w:t xml:space="preserve">Base</w:t>
      </w:r>
    </w:p>
    <w:p>
      <w:pPr>
        <w:pStyle w:val="ListParagraph"/>
        <w:numPr>
          <w:ilvl w:val="0"/>
          <w:numId w:val="2"/>
        </w:numPr>
        <w:spacing w:after="60" w:before="60"/>
      </w:pPr>
      <w:r>
        <w:rPr>
          <w:rFonts w:ascii="Arial" w:cs="Arial" w:eastAsia="Arial" w:hAnsi="Arial"/>
          <w:color w:val="1A1A1A"/>
          <w:sz w:val="22"/>
          <w:szCs w:val="22"/>
        </w:rPr>
        <w:t xml:space="preserve">Avalanche C-Chain</w:t>
      </w:r>
    </w:p>
    <w:p>
      <w:pPr>
        <w:pStyle w:val="ListParagraph"/>
        <w:numPr>
          <w:ilvl w:val="0"/>
          <w:numId w:val="2"/>
        </w:numPr>
        <w:spacing w:after="60" w:before="60"/>
      </w:pPr>
      <w:r>
        <w:rPr>
          <w:rFonts w:ascii="Arial" w:cs="Arial" w:eastAsia="Arial" w:hAnsi="Arial"/>
          <w:color w:val="1A1A1A"/>
          <w:sz w:val="22"/>
          <w:szCs w:val="22"/>
        </w:rPr>
        <w:t xml:space="preserve">Unichain</w:t>
      </w:r>
    </w:p>
    <w:p>
      <w:pPr>
        <w:spacing w:after="120" w:before="0"/>
      </w:pPr>
      <w:r>
        <w:t xml:space="preserve"/>
      </w:r>
    </w:p>
    <w:p>
      <w:pPr>
        <w:spacing w:after="120" w:before="80"/>
      </w:pPr>
      <w:r>
        <w:rPr>
          <w:rFonts w:ascii="Arial" w:cs="Arial" w:eastAsia="Arial" w:hAnsi="Arial"/>
          <w:color w:val="1A1A1A"/>
          <w:sz w:val="22"/>
          <w:szCs w:val="22"/>
        </w:rPr>
        <w:t xml:space="preserve">All five chains are indexed in real time. Cross-chain history is aggregated at the wallet address level using deterministic address matching (same private key = same address on all EVM chains). There is no bridging of scores between chains — history is pooled, not transferred.</w:t>
      </w:r>
    </w:p>
    <w:p>
      <w:pPr>
        <w:pStyle w:val="Heading2"/>
        <w:spacing w:after="120" w:before="280"/>
      </w:pPr>
      <w:r>
        <w:rPr>
          <w:rFonts w:ascii="Arial" w:cs="Arial" w:eastAsia="Arial" w:hAnsi="Arial"/>
          <w:b/>
          <w:bCs/>
          <w:color w:val="2E75B6"/>
          <w:sz w:val="26"/>
          <w:szCs w:val="26"/>
        </w:rPr>
        <w:t xml:space="preserve">3.3  Indexed Events</w:t>
      </w:r>
    </w:p>
    <w:p>
      <w:pPr>
        <w:spacing w:after="120" w:before="80"/>
      </w:pPr>
      <w:r>
        <w:rPr>
          <w:rFonts w:ascii="Arial" w:cs="Arial" w:eastAsia="Arial" w:hAnsi="Arial"/>
          <w:color w:val="1A1A1A"/>
          <w:sz w:val="22"/>
          <w:szCs w:val="22"/>
        </w:rPr>
        <w:t xml:space="preserve">The following smart contract events are indexed as scoring triggers. This list is exhaustive for v1.0 and constitutes the complete set of on-chain data inputs to the model.</w:t>
      </w:r>
    </w:p>
    <w:p>
      <w:pPr>
        <w:spacing w:after="120" w:before="0"/>
      </w:pPr>
      <w:r>
        <w:t xml:space="preserve"/>
      </w:r>
    </w:p>
    <w:p>
      <w:pPr>
        <w:pBdr>
          <w:top w:val="single" w:color="B8CCE4" w:sz="1"/>
          <w:left w:val="thick" w:color="2E75B6" w:sz="12"/>
          <w:bottom w:val="single" w:color="B8CCE4" w:sz="1"/>
          <w:right w:val="single" w:color="B8CCE4" w:sz="1"/>
        </w:pBdr>
        <w:shd w:fill="F4F6F8" w:val="clear"/>
        <w:spacing w:after="120" w:before="120"/>
        <w:ind w:left="480"/>
      </w:pPr>
      <w:r>
        <w:rPr>
          <w:rFonts w:ascii="Courier New" w:cs="Courier New" w:eastAsia="Courier New" w:hAnsi="Courier New"/>
          <w:color w:val="1A1A2E"/>
          <w:sz w:val="18"/>
          <w:szCs w:val="18"/>
        </w:rPr>
        <w:t xml:space="preserve">Aave V3:        Borrow(), Repay(), LiquidationCall(), Supply(), Withdraw()</w:t>
        <w:br/>
        <w:t xml:space="preserve">Compound III:   Supply(), Withdraw(), AbsorbDebt(), BuyCollateral()</w:t>
        <w:br/>
        <w:t xml:space="preserve">MakerDAO:       Frob() [CDP operations], Bite() [liquidations]</w:t>
        <w:br/>
        <w:t xml:space="preserve">SparkLend:      Borrow(), Repay(), LiquidationCall()</w:t>
        <w:br/>
        <w:t xml:space="preserve">Morpho Blue:    Borrow(), Repay(), Liquidate(), SupplyCollateral()</w:t>
        <w:br/>
        <w:t xml:space="preserve">Uniswap V3:     IncreaseLiquidity(), DecreaseLiquidity() [LP only, not swaps]</w:t>
        <w:br/>
        <w:t xml:space="preserve">Curve:          AddLiquidity(), RemoveLiquidity() [gauge deposits only]</w:t>
      </w:r>
    </w:p>
    <w:p>
      <w:pPr>
        <w:spacing w:after="120" w:before="0"/>
      </w:pPr>
      <w:r>
        <w:t xml:space="preserve"/>
      </w:r>
    </w:p>
    <w:p>
      <w:pPr>
        <w:spacing w:after="120" w:before="80"/>
      </w:pPr>
      <w:r>
        <w:rPr>
          <w:rFonts w:ascii="Arial" w:cs="Arial" w:eastAsia="Arial" w:hAnsi="Arial"/>
          <w:color w:val="1A1A1A"/>
          <w:sz w:val="22"/>
          <w:szCs w:val="22"/>
        </w:rPr>
        <w:t xml:space="preserve">Events that are explicitly excluded from scoring: flash loans (same-block borrow and repay), MEV bot activity identified by known bot address lists, internal protocol accounting events, and governance voting actions.</w:t>
      </w:r>
    </w:p>
    <w:p>
      <w:pPr>
        <w:pStyle w:val="Heading2"/>
        <w:spacing w:after="120" w:before="280"/>
      </w:pPr>
      <w:r>
        <w:rPr>
          <w:rFonts w:ascii="Arial" w:cs="Arial" w:eastAsia="Arial" w:hAnsi="Arial"/>
          <w:b/>
          <w:bCs/>
          <w:color w:val="2E75B6"/>
          <w:sz w:val="26"/>
          <w:szCs w:val="26"/>
        </w:rPr>
        <w:t xml:space="preserve">3.4  Minimum Activity Threshold</w:t>
      </w:r>
    </w:p>
    <w:p>
      <w:pPr>
        <w:spacing w:after="120" w:before="80"/>
      </w:pPr>
      <w:r>
        <w:rPr>
          <w:rFonts w:ascii="Arial" w:cs="Arial" w:eastAsia="Arial" w:hAnsi="Arial"/>
          <w:color w:val="1A1A1A"/>
          <w:sz w:val="22"/>
          <w:szCs w:val="22"/>
        </w:rPr>
        <w:t xml:space="preserve">A wallet must meet all of the following criteria before a score is published to the oracle. Wallets below threshold return valid = false:</w:t>
      </w:r>
    </w:p>
    <w:p>
      <w:pPr>
        <w:pStyle w:val="ListParagraph"/>
        <w:numPr>
          <w:ilvl w:val="0"/>
          <w:numId w:val="2"/>
        </w:numPr>
        <w:spacing w:after="60" w:before="60"/>
      </w:pPr>
      <w:r>
        <w:rPr>
          <w:rFonts w:ascii="Arial" w:cs="Arial" w:eastAsia="Arial" w:hAnsi="Arial"/>
          <w:color w:val="1A1A1A"/>
          <w:sz w:val="22"/>
          <w:szCs w:val="22"/>
        </w:rPr>
        <w:t xml:space="preserve">At least 180 days of verifiable DeFi activity (first indexed event to present)</w:t>
      </w:r>
    </w:p>
    <w:p>
      <w:pPr>
        <w:pStyle w:val="ListParagraph"/>
        <w:numPr>
          <w:ilvl w:val="0"/>
          <w:numId w:val="2"/>
        </w:numPr>
        <w:spacing w:after="60" w:before="60"/>
      </w:pPr>
      <w:r>
        <w:rPr>
          <w:rFonts w:ascii="Arial" w:cs="Arial" w:eastAsia="Arial" w:hAnsi="Arial"/>
          <w:color w:val="1A1A1A"/>
          <w:sz w:val="22"/>
          <w:szCs w:val="22"/>
        </w:rPr>
        <w:t xml:space="preserve">At least 3 distinct borrow-and-repay cycles across any indexed protocol</w:t>
      </w:r>
    </w:p>
    <w:p>
      <w:pPr>
        <w:pStyle w:val="ListParagraph"/>
        <w:numPr>
          <w:ilvl w:val="0"/>
          <w:numId w:val="2"/>
        </w:numPr>
        <w:spacing w:after="60" w:before="60"/>
      </w:pPr>
      <w:r>
        <w:rPr>
          <w:rFonts w:ascii="Arial" w:cs="Arial" w:eastAsia="Arial" w:hAnsi="Arial"/>
          <w:color w:val="1A1A1A"/>
          <w:sz w:val="22"/>
          <w:szCs w:val="22"/>
        </w:rPr>
        <w:t xml:space="preserve">At least 1 indexed interaction in the last 365 days (liveness check)</w:t>
      </w:r>
    </w:p>
    <w:p>
      <w:pPr>
        <w:spacing w:after="120" w:before="0"/>
      </w:pPr>
      <w:r>
        <w:t xml:space="preserve"/>
      </w:r>
    </w:p>
    <w:p>
      <w:pPr>
        <w:spacing w:after="120" w:before="80"/>
      </w:pPr>
      <w:r>
        <w:rPr>
          <w:rFonts w:ascii="Arial" w:cs="Arial" w:eastAsia="Arial" w:hAnsi="Arial"/>
          <w:color w:val="1A1A1A"/>
          <w:sz w:val="22"/>
          <w:szCs w:val="22"/>
        </w:rPr>
        <w:t xml:space="preserve">Wallets that fail the minimum threshold are not penalized — they simply receive no score, and any protocol reading the oracle receives valid = false, triggering the fallback to standard rates. There is no "bad" score for new wallets.</w:t>
      </w:r>
    </w:p>
    <w:p>
      <w:pPr>
        <w:pStyle w:val="Heading1"/>
        <w:pBdr>
          <w:bottom w:val="single" w:color="2E75B6" w:sz="8" w:space="6"/>
        </w:pBdr>
        <w:spacing w:after="160" w:before="360"/>
      </w:pPr>
      <w:r>
        <w:rPr>
          <w:rFonts w:ascii="Arial" w:cs="Arial" w:eastAsia="Arial" w:hAnsi="Arial"/>
          <w:b/>
          <w:bCs/>
          <w:color w:val="1A3C5E"/>
          <w:sz w:val="32"/>
          <w:szCs w:val="32"/>
        </w:rPr>
        <w:t xml:space="preserve">4.  Oracle Lifecycle and Update Cadence</w:t>
      </w:r>
    </w:p>
    <w:p>
      <w:pPr>
        <w:pStyle w:val="Heading2"/>
        <w:spacing w:after="120" w:before="280"/>
      </w:pPr>
      <w:r>
        <w:rPr>
          <w:rFonts w:ascii="Arial" w:cs="Arial" w:eastAsia="Arial" w:hAnsi="Arial"/>
          <w:b/>
          <w:bCs/>
          <w:color w:val="2E75B6"/>
          <w:sz w:val="26"/>
          <w:szCs w:val="26"/>
        </w:rPr>
        <w:t xml:space="preserve">4.1  Score Computation Pipeline</w:t>
      </w:r>
    </w:p>
    <w:p>
      <w:pPr>
        <w:spacing w:after="120" w:before="80"/>
      </w:pPr>
      <w:r>
        <w:rPr>
          <w:rFonts w:ascii="Arial" w:cs="Arial" w:eastAsia="Arial" w:hAnsi="Arial"/>
          <w:color w:val="1A1A1A"/>
          <w:sz w:val="22"/>
          <w:szCs w:val="22"/>
        </w:rPr>
        <w:t xml:space="preserve">The following describes the complete lifecycle of a score from on-chain event detection to oracle publication:</w:t>
      </w:r>
    </w:p>
    <w:p>
      <w:pPr>
        <w:spacing w:after="120" w:before="0"/>
      </w:pPr>
      <w:r>
        <w:t xml:space="preserve"/>
      </w:r>
    </w:p>
    <w:p>
      <w:pPr>
        <w:pBdr>
          <w:top w:val="single" w:color="B8CCE4" w:sz="1"/>
          <w:left w:val="thick" w:color="2E75B6" w:sz="12"/>
          <w:bottom w:val="single" w:color="B8CCE4" w:sz="1"/>
          <w:right w:val="single" w:color="B8CCE4" w:sz="1"/>
        </w:pBdr>
        <w:shd w:fill="F4F6F8" w:val="clear"/>
        <w:spacing w:after="120" w:before="120"/>
        <w:ind w:left="480"/>
      </w:pPr>
      <w:r>
        <w:rPr>
          <w:rFonts w:ascii="Courier New" w:cs="Courier New" w:eastAsia="Courier New" w:hAnsi="Courier New"/>
          <w:color w:val="1A1A2E"/>
          <w:sz w:val="18"/>
          <w:szCs w:val="18"/>
        </w:rPr>
        <w:t xml:space="preserve">1. On-chain event detected (e.g. Repay() on Aave V3)</w:t>
        <w:br/>
        <w:t xml:space="preserve">   └── Indexer picks up event via WebSocket subscription (&lt;2 seconds)</w:t>
        <w:br/>
        <w:t xml:space="preserve"/>
        <w:br/>
        <w:t xml:space="preserve">2. Affected wallet identified from event calldata</w:t>
        <w:br/>
        <w:t xml:space="preserve">   └── Full borrow/repay history for wallet fetched from indexed database</w:t>
        <w:br/>
        <w:t xml:space="preserve"/>
        <w:br/>
        <w:t xml:space="preserve">3. All six sub-scores recomputed from raw event history</w:t>
        <w:br/>
        <w:t xml:space="preserve">   └── Flash loan filter applied at this stage</w:t>
        <w:br/>
        <w:t xml:space="preserve">   └── Minimum activity threshold re-evaluated</w:t>
        <w:br/>
        <w:t xml:space="preserve"/>
        <w:br/>
        <w:t xml:space="preserve">4. Anti-fraud checks run (see Section 5)</w:t>
        <w:br/>
        <w:t xml:space="preserve">   └── If anomaly detected: score update paused, last valid score retained</w:t>
        <w:br/>
        <w:t xml:space="preserve">   └── If Sybil flag raised: score capped and flagged field set to true</w:t>
        <w:br/>
        <w:t xml:space="preserve"/>
        <w:br/>
        <w:t xml:space="preserve">5. Final score submitted to 2-of-3 oracle consensus network</w:t>
        <w:br/>
        <w:t xml:space="preserve">   └── All three oracle nodes compute independently from shared indexed data</w:t>
        <w:br/>
        <w:t xml:space="preserve">   └── Consensus requires agreement from at least 2 of 3 nodes</w:t>
        <w:br/>
        <w:t xml:space="preserve"/>
        <w:br/>
        <w:t xml:space="preserve">6. Agreed score written to CreditScoreOracle contract on-chain</w:t>
        <w:br/>
        <w:t xml:space="preserve">   └── TTL set to 7 days from publication timestamp</w:t>
        <w:br/>
        <w:t xml:space="preserve">   └── score (uint16), valid (bool), flagged (bool), version (bytes32) published</w:t>
        <w:br/>
        <w:t xml:space="preserve"/>
        <w:br/>
        <w:t xml:space="preserve">7. Protocol reads score synchronously at time of borrow</w:t>
        <w:br/>
        <w:t xml:space="preserve">   └── If valid == false OR TTL expired: fallback to standard rates</w:t>
        <w:br/>
        <w:t xml:space="preserve">   └── If flagged == true: score treated as Fair band (no discount)</w:t>
      </w:r>
    </w:p>
    <w:p>
      <w:pPr>
        <w:spacing w:after="120" w:before="0"/>
      </w:pPr>
      <w:r>
        <w:t xml:space="preserve"/>
      </w:r>
    </w:p>
    <w:p>
      <w:pPr>
        <w:pStyle w:val="Heading2"/>
        <w:spacing w:after="120" w:before="280"/>
      </w:pPr>
      <w:r>
        <w:rPr>
          <w:rFonts w:ascii="Arial" w:cs="Arial" w:eastAsia="Arial" w:hAnsi="Arial"/>
          <w:b/>
          <w:bCs/>
          <w:color w:val="2E75B6"/>
          <w:sz w:val="26"/>
          <w:szCs w:val="26"/>
        </w:rPr>
        <w:t xml:space="preserve">4.2  Oracle Interface</w:t>
      </w:r>
    </w:p>
    <w:p>
      <w:pPr>
        <w:spacing w:after="120" w:before="80"/>
      </w:pPr>
      <w:r>
        <w:rPr>
          <w:rFonts w:ascii="Arial" w:cs="Arial" w:eastAsia="Arial" w:hAnsi="Arial"/>
          <w:color w:val="1A1A1A"/>
          <w:sz w:val="22"/>
          <w:szCs w:val="22"/>
        </w:rPr>
        <w:t xml:space="preserve">The CreditScoreOracle contract exposes the following interface. Any protocol may call getScore() synchronously at any time:</w:t>
      </w:r>
    </w:p>
    <w:p>
      <w:pPr>
        <w:spacing w:after="120" w:before="0"/>
      </w:pPr>
      <w:r>
        <w:t xml:space="preserve"/>
      </w:r>
    </w:p>
    <w:p>
      <w:pPr>
        <w:pBdr>
          <w:top w:val="single" w:color="B8CCE4" w:sz="1"/>
          <w:left w:val="thick" w:color="2E75B6" w:sz="12"/>
          <w:bottom w:val="single" w:color="B8CCE4" w:sz="1"/>
          <w:right w:val="single" w:color="B8CCE4" w:sz="1"/>
        </w:pBdr>
        <w:shd w:fill="F4F6F8" w:val="clear"/>
        <w:spacing w:after="120" w:before="120"/>
        <w:ind w:left="480"/>
      </w:pPr>
      <w:r>
        <w:rPr>
          <w:rFonts w:ascii="Courier New" w:cs="Courier New" w:eastAsia="Courier New" w:hAnsi="Courier New"/>
          <w:color w:val="1A1A2E"/>
          <w:sz w:val="18"/>
          <w:szCs w:val="18"/>
        </w:rPr>
        <w:t xml:space="preserve">interface ICreditScoreOracle {</w:t>
        <w:br/>
        <w:t xml:space="preserve">    // Returns the current published score for a wallet address</w:t>
        <w:br/>
        <w:t xml:space="preserve">    // score:   300-850 (0 if unscored or TTL expired)</w:t>
        <w:br/>
        <w:t xml:space="preserve">    // valid:   false if wallet is unscored, TTL expired, or oracle offline</w:t>
        <w:br/>
        <w:t xml:space="preserve">    // flagged: true if score is under active anti-fraud review</w:t>
        <w:br/>
        <w:t xml:space="preserve">    // version: current model version hash (compare against frozenVersion)</w:t>
        <w:br/>
        <w:t xml:space="preserve">    function getScore(address wallet)</w:t>
        <w:br/>
        <w:t xml:space="preserve">        external view</w:t>
        <w:br/>
        <w:t xml:space="preserve">        returns (</w:t>
        <w:br/>
        <w:t xml:space="preserve">            uint16  score,</w:t>
        <w:br/>
        <w:t xml:space="preserve">            bool    valid,</w:t>
        <w:br/>
        <w:t xml:space="preserve">            bool    flagged,</w:t>
        <w:br/>
        <w:t xml:space="preserve">            bytes32 version</w:t>
        <w:br/>
        <w:t xml:space="preserve">        );</w:t>
        <w:br/>
        <w:t xml:space="preserve">}</w:t>
      </w:r>
    </w:p>
    <w:p>
      <w:pPr>
        <w:spacing w:after="120" w:before="0"/>
      </w:pPr>
      <w:r>
        <w:t xml:space="preserve"/>
      </w:r>
    </w:p>
    <w:p>
      <w:pPr>
        <w:pStyle w:val="Heading2"/>
        <w:spacing w:after="120" w:before="280"/>
      </w:pPr>
      <w:r>
        <w:rPr>
          <w:rFonts w:ascii="Arial" w:cs="Arial" w:eastAsia="Arial" w:hAnsi="Arial"/>
          <w:b/>
          <w:bCs/>
          <w:color w:val="2E75B6"/>
          <w:sz w:val="26"/>
          <w:szCs w:val="26"/>
        </w:rPr>
        <w:t xml:space="preserve">4.3  TTL and Staleness</w:t>
      </w:r>
    </w:p>
    <w:p>
      <w:pPr>
        <w:spacing w:after="120" w:before="80"/>
      </w:pPr>
      <w:r>
        <w:rPr>
          <w:rFonts w:ascii="Arial" w:cs="Arial" w:eastAsia="Arial" w:hAnsi="Arial"/>
          <w:color w:val="1A1A1A"/>
          <w:sz w:val="22"/>
          <w:szCs w:val="22"/>
        </w:rPr>
        <w:t xml:space="preserve">Every published score carries a 7-day Time-To-Live (TTL). After 7 days without a refresh event, valid automatically returns false and the Aave adapter falls back to standard rates for new borrows. Existing borrowing positions are not affected by TTL expiry — rate discounts lock in at origination time for the duration of the loan.</w:t>
      </w:r>
    </w:p>
    <w:p>
      <w:pPr>
        <w:spacing w:after="120" w:before="0"/>
      </w:pPr>
      <w:r>
        <w:t xml:space="preserve"/>
      </w:r>
    </w:p>
    <w:p>
      <w:pPr>
        <w:spacing w:after="120" w:before="80"/>
      </w:pPr>
      <w:r>
        <w:rPr>
          <w:rFonts w:ascii="Arial" w:cs="Arial" w:eastAsia="Arial" w:hAnsi="Arial"/>
          <w:color w:val="1A1A1A"/>
          <w:sz w:val="22"/>
          <w:szCs w:val="22"/>
        </w:rPr>
        <w:t xml:space="preserve">Exception: liquidation events trigger an immediate score recompute and oracle republication, bypassing the standard TTL. A wallet that is liquidated will have its score updated within 2 seconds of the on-chain event, even if its previous score was published moments earlier.</w:t>
      </w:r>
    </w:p>
    <w:p>
      <w:pPr>
        <w:pStyle w:val="Heading2"/>
        <w:spacing w:after="120" w:before="280"/>
      </w:pPr>
      <w:r>
        <w:rPr>
          <w:rFonts w:ascii="Arial" w:cs="Arial" w:eastAsia="Arial" w:hAnsi="Arial"/>
          <w:b/>
          <w:bCs/>
          <w:color w:val="2E75B6"/>
          <w:sz w:val="26"/>
          <w:szCs w:val="26"/>
        </w:rPr>
        <w:t xml:space="preserve">4.4  Oracle Network</w:t>
      </w:r>
    </w:p>
    <w:p>
      <w:pPr>
        <w:spacing w:after="120" w:before="80"/>
      </w:pPr>
      <w:r>
        <w:rPr>
          <w:rFonts w:ascii="Arial" w:cs="Arial" w:eastAsia="Arial" w:hAnsi="Arial"/>
          <w:color w:val="1A1A1A"/>
          <w:sz w:val="22"/>
          <w:szCs w:val="22"/>
        </w:rPr>
        <w:t xml:space="preserve">ZentraScore operates a 2-of-3 oracle consensus network. The three nodes are operated by geographically and organizationally distinct infrastructure providers. Score publication requires cryptographic agreement from at least 2 of 3 nodes.</w:t>
      </w:r>
    </w:p>
    <w:p>
      <w:pPr>
        <w:spacing w:after="120" w:before="0"/>
      </w:pPr>
      <w:r>
        <w:t xml:space="preserve"/>
      </w:r>
    </w:p>
    <w:p>
      <w:pPr>
        <w:spacing w:after="120" w:before="80"/>
      </w:pPr>
      <w:r>
        <w:rPr>
          <w:rFonts w:ascii="Arial" w:cs="Arial" w:eastAsia="Arial" w:hAnsi="Arial"/>
          <w:color w:val="1A1A1A"/>
          <w:sz w:val="22"/>
          <w:szCs w:val="22"/>
        </w:rPr>
        <w:t xml:space="preserve">If any single node goes offline, the network continues functioning normally. If 2 or more nodes go offline simultaneously, score updates cannot be published. In this scenario:</w:t>
      </w:r>
    </w:p>
    <w:p>
      <w:pPr>
        <w:pStyle w:val="ListParagraph"/>
        <w:numPr>
          <w:ilvl w:val="0"/>
          <w:numId w:val="2"/>
        </w:numPr>
        <w:spacing w:after="60" w:before="60"/>
      </w:pPr>
      <w:r>
        <w:rPr>
          <w:rFonts w:ascii="Arial" w:cs="Arial" w:eastAsia="Arial" w:hAnsi="Arial"/>
          <w:color w:val="1A1A1A"/>
          <w:sz w:val="22"/>
          <w:szCs w:val="22"/>
        </w:rPr>
        <w:t xml:space="preserve">Existing TTL-valid scores continue to be readable for up to 7 days</w:t>
      </w:r>
    </w:p>
    <w:p>
      <w:pPr>
        <w:pStyle w:val="ListParagraph"/>
        <w:numPr>
          <w:ilvl w:val="0"/>
          <w:numId w:val="2"/>
        </w:numPr>
        <w:spacing w:after="60" w:before="60"/>
      </w:pPr>
      <w:r>
        <w:rPr>
          <w:rFonts w:ascii="Arial" w:cs="Arial" w:eastAsia="Arial" w:hAnsi="Arial"/>
          <w:color w:val="1A1A1A"/>
          <w:sz w:val="22"/>
          <w:szCs w:val="22"/>
        </w:rPr>
        <w:t xml:space="preserve">After TTL expiry, valid returns false and Aave adapter falls back to standard rates</w:t>
      </w:r>
    </w:p>
    <w:p>
      <w:pPr>
        <w:pStyle w:val="ListParagraph"/>
        <w:numPr>
          <w:ilvl w:val="0"/>
          <w:numId w:val="2"/>
        </w:numPr>
        <w:spacing w:after="60" w:before="60"/>
      </w:pPr>
      <w:r>
        <w:rPr>
          <w:rFonts w:ascii="Arial" w:cs="Arial" w:eastAsia="Arial" w:hAnsi="Arial"/>
          <w:color w:val="1A1A1A"/>
          <w:sz w:val="22"/>
          <w:szCs w:val="22"/>
        </w:rPr>
        <w:t xml:space="preserve">No incorrect or manipulated score can be published without 2-of-3 consensus</w:t>
      </w:r>
    </w:p>
    <w:p>
      <w:pPr>
        <w:spacing w:after="120" w:before="0"/>
      </w:pPr>
      <w:r>
        <w:t xml:space="preserve"/>
      </w:r>
    </w:p>
    <w:p>
      <w:pPr>
        <w:spacing w:after="120" w:before="80"/>
      </w:pPr>
      <w:r>
        <w:rPr>
          <w:rFonts w:ascii="Arial" w:cs="Arial" w:eastAsia="Arial" w:hAnsi="Arial"/>
          <w:color w:val="1A1A1A"/>
          <w:sz w:val="22"/>
          <w:szCs w:val="22"/>
        </w:rPr>
        <w:t xml:space="preserve">ZentraScore commits to publishing oracle node uptime metrics monthly on governance.aave.com for the duration of the Phase 1 integration.</w:t>
      </w:r>
    </w:p>
    <w:p>
      <w:pPr>
        <w:pStyle w:val="Heading1"/>
        <w:pBdr>
          <w:bottom w:val="single" w:color="2E75B6" w:sz="8" w:space="6"/>
        </w:pBdr>
        <w:spacing w:after="160" w:before="360"/>
      </w:pPr>
      <w:r>
        <w:rPr>
          <w:rFonts w:ascii="Arial" w:cs="Arial" w:eastAsia="Arial" w:hAnsi="Arial"/>
          <w:b/>
          <w:bCs/>
          <w:color w:val="1A3C5E"/>
          <w:sz w:val="32"/>
          <w:szCs w:val="32"/>
        </w:rPr>
        <w:t xml:space="preserve">5.  Anti-Fraud and Anti-Manipulation Layer</w:t>
      </w:r>
    </w:p>
    <w:p>
      <w:pPr>
        <w:spacing w:after="120" w:before="80"/>
      </w:pPr>
      <w:r>
        <w:rPr>
          <w:rFonts w:ascii="Arial" w:cs="Arial" w:eastAsia="Arial" w:hAnsi="Arial"/>
          <w:color w:val="1A1A1A"/>
          <w:sz w:val="22"/>
          <w:szCs w:val="22"/>
        </w:rPr>
        <w:t xml:space="preserve">ZentraScore applies four independent anti-manipulation checks to every score before publication. These checks are designed to make the cost of manufacturing a fraudulent high score exceed any economic benefit available in Phase 1 (rate discounts only, full collateral required).</w:t>
      </w:r>
    </w:p>
    <w:p>
      <w:pPr>
        <w:pStyle w:val="Heading2"/>
        <w:spacing w:after="120" w:before="280"/>
      </w:pPr>
      <w:r>
        <w:rPr>
          <w:rFonts w:ascii="Arial" w:cs="Arial" w:eastAsia="Arial" w:hAnsi="Arial"/>
          <w:b/>
          <w:bCs/>
          <w:color w:val="2E75B6"/>
          <w:sz w:val="26"/>
          <w:szCs w:val="26"/>
        </w:rPr>
        <w:t xml:space="preserve">5.1  Sybil Wallet Clustering Detection</w:t>
      </w:r>
    </w:p>
    <w:p>
      <w:pPr>
        <w:spacing w:after="120" w:before="80"/>
      </w:pPr>
      <w:r>
        <w:rPr>
          <w:rFonts w:ascii="Arial" w:cs="Arial" w:eastAsia="Arial" w:hAnsi="Arial"/>
          <w:color w:val="1A1A1A"/>
          <w:sz w:val="22"/>
          <w:szCs w:val="22"/>
        </w:rPr>
        <w:t xml:space="preserve">ZentraScore builds a directed graph of fund flows across all indexed wallets on all five chains. Wallet clusters are identified using the following signals:</w:t>
      </w:r>
    </w:p>
    <w:p>
      <w:pPr>
        <w:pStyle w:val="ListParagraph"/>
        <w:numPr>
          <w:ilvl w:val="0"/>
          <w:numId w:val="2"/>
        </w:numPr>
        <w:spacing w:after="60" w:before="60"/>
      </w:pPr>
      <w:r>
        <w:rPr>
          <w:rFonts w:ascii="Arial" w:cs="Arial" w:eastAsia="Arial" w:hAnsi="Arial"/>
          <w:color w:val="1A1A1A"/>
          <w:sz w:val="22"/>
          <w:szCs w:val="22"/>
        </w:rPr>
        <w:t xml:space="preserve">Shared funding source: wallets funded from the same EOA or contract within a 30-day window</w:t>
      </w:r>
    </w:p>
    <w:p>
      <w:pPr>
        <w:pStyle w:val="ListParagraph"/>
        <w:numPr>
          <w:ilvl w:val="0"/>
          <w:numId w:val="2"/>
        </w:numPr>
        <w:spacing w:after="60" w:before="60"/>
      </w:pPr>
      <w:r>
        <w:rPr>
          <w:rFonts w:ascii="Arial" w:cs="Arial" w:eastAsia="Arial" w:hAnsi="Arial"/>
          <w:color w:val="1A1A1A"/>
          <w:sz w:val="22"/>
          <w:szCs w:val="22"/>
        </w:rPr>
        <w:t xml:space="preserve">Synchronized behavioral timing: wallets that execute borrow/repay cycles within the same block or within narrow time windows across multiple protocols</w:t>
      </w:r>
    </w:p>
    <w:p>
      <w:pPr>
        <w:pStyle w:val="ListParagraph"/>
        <w:numPr>
          <w:ilvl w:val="0"/>
          <w:numId w:val="2"/>
        </w:numPr>
        <w:spacing w:after="60" w:before="60"/>
      </w:pPr>
      <w:r>
        <w:rPr>
          <w:rFonts w:ascii="Arial" w:cs="Arial" w:eastAsia="Arial" w:hAnsi="Arial"/>
          <w:color w:val="1A1A1A"/>
          <w:sz w:val="22"/>
          <w:szCs w:val="22"/>
        </w:rPr>
        <w:t xml:space="preserve">Circular capital routing: wallet A funds wallet B funds wallet C in a pattern consistent with coordinated score inflation</w:t>
      </w:r>
    </w:p>
    <w:p>
      <w:pPr>
        <w:pStyle w:val="ListParagraph"/>
        <w:numPr>
          <w:ilvl w:val="0"/>
          <w:numId w:val="2"/>
        </w:numPr>
        <w:spacing w:after="60" w:before="60"/>
      </w:pPr>
      <w:r>
        <w:rPr>
          <w:rFonts w:ascii="Arial" w:cs="Arial" w:eastAsia="Arial" w:hAnsi="Arial"/>
          <w:color w:val="1A1A1A"/>
          <w:sz w:val="22"/>
          <w:szCs w:val="22"/>
        </w:rPr>
        <w:t xml:space="preserve">Identical interaction sequences: wallets that interact with the same set of protocols in the same order within a short time period</w:t>
      </w:r>
    </w:p>
    <w:p>
      <w:pPr>
        <w:spacing w:after="120" w:before="0"/>
      </w:pPr>
      <w:r>
        <w:t xml:space="preserve"/>
      </w:r>
    </w:p>
    <w:p>
      <w:pPr>
        <w:spacing w:after="120" w:before="80"/>
      </w:pPr>
      <w:r>
        <w:rPr>
          <w:rFonts w:ascii="Arial" w:cs="Arial" w:eastAsia="Arial" w:hAnsi="Arial"/>
          <w:color w:val="1A1A1A"/>
          <w:sz w:val="22"/>
          <w:szCs w:val="22"/>
        </w:rPr>
        <w:t xml:space="preserve">When a cluster is identified, the cluster's scores are capped at the Fair band (580) regardless of their raw computed scores, and the flagged field is set to true. Cluster membership and flagging rationale are logged to a public on-chain event for auditability.</w:t>
      </w:r>
    </w:p>
    <w:p>
      <w:pPr>
        <w:spacing w:after="120" w:before="0"/>
      </w:pPr>
      <w:r>
        <w:t xml:space="preserve"/>
      </w:r>
    </w:p>
    <w:p>
      <w:pPr>
        <w:spacing w:after="120" w:before="80"/>
      </w:pPr>
      <w:r>
        <w:rPr>
          <w:rFonts w:ascii="Arial" w:cs="Arial" w:eastAsia="Arial" w:hAnsi="Arial"/>
          <w:color w:val="1A1A1A"/>
          <w:sz w:val="22"/>
          <w:szCs w:val="22"/>
        </w:rPr>
        <w:t xml:space="preserve">False positive rate: We estimate the current false positive rate for Sybil detection at under 0.5% of scored wallets, based on internal validation against labeled datasets. We will share this validation data with Chaos Labs and LlamaRisk as part of the back-test process.</w:t>
      </w:r>
    </w:p>
    <w:p>
      <w:pPr>
        <w:pStyle w:val="Heading2"/>
        <w:spacing w:after="120" w:before="280"/>
      </w:pPr>
      <w:r>
        <w:rPr>
          <w:rFonts w:ascii="Arial" w:cs="Arial" w:eastAsia="Arial" w:hAnsi="Arial"/>
          <w:b/>
          <w:bCs/>
          <w:color w:val="2E75B6"/>
          <w:sz w:val="26"/>
          <w:szCs w:val="26"/>
        </w:rPr>
        <w:t xml:space="preserve">5.2  Wash-Repayment Detection</w:t>
      </w:r>
    </w:p>
    <w:p>
      <w:pPr>
        <w:spacing w:after="120" w:before="80"/>
      </w:pPr>
      <w:r>
        <w:rPr>
          <w:rFonts w:ascii="Arial" w:cs="Arial" w:eastAsia="Arial" w:hAnsi="Arial"/>
          <w:color w:val="1A1A1A"/>
          <w:sz w:val="22"/>
          <w:szCs w:val="22"/>
        </w:rPr>
        <w:t xml:space="preserve">Wash repayment refers to circular borrow/repay cycles where the net capital genuinely at risk is near zero. Detection method:</w:t>
      </w:r>
    </w:p>
    <w:p>
      <w:pPr>
        <w:pStyle w:val="ListParagraph"/>
        <w:numPr>
          <w:ilvl w:val="0"/>
          <w:numId w:val="2"/>
        </w:numPr>
        <w:spacing w:after="60" w:before="60"/>
      </w:pPr>
      <w:r>
        <w:rPr>
          <w:rFonts w:ascii="Arial" w:cs="Arial" w:eastAsia="Arial" w:hAnsi="Arial"/>
          <w:color w:val="1A1A1A"/>
          <w:sz w:val="22"/>
          <w:szCs w:val="22"/>
        </w:rPr>
        <w:t xml:space="preserve">For every borrow event, the indexer traces the destination of borrowed funds for up to 5 hops</w:t>
      </w:r>
    </w:p>
    <w:p>
      <w:pPr>
        <w:pStyle w:val="ListParagraph"/>
        <w:numPr>
          <w:ilvl w:val="0"/>
          <w:numId w:val="2"/>
        </w:numPr>
        <w:spacing w:after="60" w:before="60"/>
      </w:pPr>
      <w:r>
        <w:rPr>
          <w:rFonts w:ascii="Arial" w:cs="Arial" w:eastAsia="Arial" w:hAnsi="Arial"/>
          <w:color w:val="1A1A1A"/>
          <w:sz w:val="22"/>
          <w:szCs w:val="22"/>
        </w:rPr>
        <w:t xml:space="preserve">If borrowed funds are routed back to the same wallet or a first-degree cluster wallet within 14 days, the repayment cycle is classified as a wash</w:t>
      </w:r>
    </w:p>
    <w:p>
      <w:pPr>
        <w:pStyle w:val="ListParagraph"/>
        <w:numPr>
          <w:ilvl w:val="0"/>
          <w:numId w:val="2"/>
        </w:numPr>
        <w:spacing w:after="60" w:before="60"/>
      </w:pPr>
      <w:r>
        <w:rPr>
          <w:rFonts w:ascii="Arial" w:cs="Arial" w:eastAsia="Arial" w:hAnsi="Arial"/>
          <w:color w:val="1A1A1A"/>
          <w:sz w:val="22"/>
          <w:szCs w:val="22"/>
        </w:rPr>
        <w:t xml:space="preserve">Wash repayment cycles are down-weighted to 10% of their face value in the Repayment History factor</w:t>
      </w:r>
    </w:p>
    <w:p>
      <w:pPr>
        <w:pStyle w:val="ListParagraph"/>
        <w:numPr>
          <w:ilvl w:val="0"/>
          <w:numId w:val="2"/>
        </w:numPr>
        <w:spacing w:after="60" w:before="60"/>
      </w:pPr>
      <w:r>
        <w:rPr>
          <w:rFonts w:ascii="Arial" w:cs="Arial" w:eastAsia="Arial" w:hAnsi="Arial"/>
          <w:color w:val="1A1A1A"/>
          <w:sz w:val="22"/>
          <w:szCs w:val="22"/>
        </w:rPr>
        <w:t xml:space="preserve">A wallet where more than 60% of repayment volume is classified as wash activity receives a Repayment History sub-score of zero</w:t>
      </w:r>
    </w:p>
    <w:p>
      <w:pPr>
        <w:spacing w:after="120" w:before="0"/>
      </w:pPr>
      <w:r>
        <w:t xml:space="preserve"/>
      </w:r>
    </w:p>
    <w:p>
      <w:pPr>
        <w:spacing w:after="120" w:before="80"/>
      </w:pPr>
      <w:r>
        <w:rPr>
          <w:rFonts w:ascii="Arial" w:cs="Arial" w:eastAsia="Arial" w:hAnsi="Arial"/>
          <w:color w:val="1A1A1A"/>
          <w:sz w:val="22"/>
          <w:szCs w:val="22"/>
        </w:rPr>
        <w:t xml:space="preserve">Minimum genuine capital at risk threshold: Repayment cycles where the borrowed funds remain outside the originating wallet for less than 1 block are excluded entirely from scoring (flash loan filter).</w:t>
      </w:r>
    </w:p>
    <w:p>
      <w:pPr>
        <w:pStyle w:val="Heading2"/>
        <w:spacing w:after="120" w:before="280"/>
      </w:pPr>
      <w:r>
        <w:rPr>
          <w:rFonts w:ascii="Arial" w:cs="Arial" w:eastAsia="Arial" w:hAnsi="Arial"/>
          <w:b/>
          <w:bCs/>
          <w:color w:val="2E75B6"/>
          <w:sz w:val="26"/>
          <w:szCs w:val="26"/>
        </w:rPr>
        <w:t xml:space="preserve">5.3  Circular Fund Flow Detection</w:t>
      </w:r>
    </w:p>
    <w:p>
      <w:pPr>
        <w:spacing w:after="120" w:before="80"/>
      </w:pPr>
      <w:r>
        <w:rPr>
          <w:rFonts w:ascii="Arial" w:cs="Arial" w:eastAsia="Arial" w:hAnsi="Arial"/>
          <w:color w:val="1A1A1A"/>
          <w:sz w:val="22"/>
          <w:szCs w:val="22"/>
        </w:rPr>
        <w:t xml:space="preserve">Circular fund flow detection catches more sophisticated routing designed to manufacture repayment history across seemingly unrelated wallets. The detection algorithm:</w:t>
      </w:r>
    </w:p>
    <w:p>
      <w:pPr>
        <w:pStyle w:val="ListParagraph"/>
        <w:numPr>
          <w:ilvl w:val="0"/>
          <w:numId w:val="2"/>
        </w:numPr>
        <w:spacing w:after="60" w:before="60"/>
      </w:pPr>
      <w:r>
        <w:rPr>
          <w:rFonts w:ascii="Arial" w:cs="Arial" w:eastAsia="Arial" w:hAnsi="Arial"/>
          <w:color w:val="1A1A1A"/>
          <w:sz w:val="22"/>
          <w:szCs w:val="22"/>
        </w:rPr>
        <w:t xml:space="preserve">Builds a weighted directed graph of all fund transfers between indexed wallets</w:t>
      </w:r>
    </w:p>
    <w:p>
      <w:pPr>
        <w:pStyle w:val="ListParagraph"/>
        <w:numPr>
          <w:ilvl w:val="0"/>
          <w:numId w:val="2"/>
        </w:numPr>
        <w:spacing w:after="60" w:before="60"/>
      </w:pPr>
      <w:r>
        <w:rPr>
          <w:rFonts w:ascii="Arial" w:cs="Arial" w:eastAsia="Arial" w:hAnsi="Arial"/>
          <w:color w:val="1A1A1A"/>
          <w:sz w:val="22"/>
          <w:szCs w:val="22"/>
        </w:rPr>
        <w:t xml:space="preserve">Runs cycle detection (DFS-based) on the graph to identify closed loops</w:t>
      </w:r>
    </w:p>
    <w:p>
      <w:pPr>
        <w:pStyle w:val="ListParagraph"/>
        <w:numPr>
          <w:ilvl w:val="0"/>
          <w:numId w:val="2"/>
        </w:numPr>
        <w:spacing w:after="60" w:before="60"/>
      </w:pPr>
      <w:r>
        <w:rPr>
          <w:rFonts w:ascii="Arial" w:cs="Arial" w:eastAsia="Arial" w:hAnsi="Arial"/>
          <w:color w:val="1A1A1A"/>
          <w:sz w:val="22"/>
          <w:szCs w:val="22"/>
        </w:rPr>
        <w:t xml:space="preserve">Flags cycles where the aggregate loan volume in the loop exceeds 10x the external capital entering the loop</w:t>
      </w:r>
    </w:p>
    <w:p>
      <w:pPr>
        <w:pStyle w:val="ListParagraph"/>
        <w:numPr>
          <w:ilvl w:val="0"/>
          <w:numId w:val="2"/>
        </w:numPr>
        <w:spacing w:after="60" w:before="60"/>
      </w:pPr>
      <w:r>
        <w:rPr>
          <w:rFonts w:ascii="Arial" w:cs="Arial" w:eastAsia="Arial" w:hAnsi="Arial"/>
          <w:color w:val="1A1A1A"/>
          <w:sz w:val="22"/>
          <w:szCs w:val="22"/>
        </w:rPr>
        <w:t xml:space="preserve">Penalizes all wallets participating in a flagged cycle proportionally to their share of loop volume</w:t>
      </w:r>
    </w:p>
    <w:p>
      <w:pPr>
        <w:pStyle w:val="Heading2"/>
        <w:spacing w:after="120" w:before="280"/>
      </w:pPr>
      <w:r>
        <w:rPr>
          <w:rFonts w:ascii="Arial" w:cs="Arial" w:eastAsia="Arial" w:hAnsi="Arial"/>
          <w:b/>
          <w:bCs/>
          <w:color w:val="2E75B6"/>
          <w:sz w:val="26"/>
          <w:szCs w:val="26"/>
        </w:rPr>
        <w:t xml:space="preserve">5.4  Behavioral Anomaly Scoring</w:t>
      </w:r>
    </w:p>
    <w:p>
      <w:pPr>
        <w:spacing w:after="120" w:before="80"/>
      </w:pPr>
      <w:r>
        <w:rPr>
          <w:rFonts w:ascii="Arial" w:cs="Arial" w:eastAsia="Arial" w:hAnsi="Arial"/>
          <w:color w:val="1A1A1A"/>
          <w:sz w:val="22"/>
          <w:szCs w:val="22"/>
        </w:rPr>
        <w:t xml:space="preserve">Behavioral anomaly detection flags sudden changes inconsistent with a wallet's historical pattern:</w:t>
      </w:r>
    </w:p>
    <w:p>
      <w:pPr>
        <w:pStyle w:val="ListParagraph"/>
        <w:numPr>
          <w:ilvl w:val="0"/>
          <w:numId w:val="2"/>
        </w:numPr>
        <w:spacing w:after="60" w:before="60"/>
      </w:pPr>
      <w:r>
        <w:rPr>
          <w:rFonts w:ascii="Arial" w:cs="Arial" w:eastAsia="Arial" w:hAnsi="Arial"/>
          <w:color w:val="1A1A1A"/>
          <w:sz w:val="22"/>
          <w:szCs w:val="22"/>
        </w:rPr>
        <w:t xml:space="preserve">Score increase greater than 100 points within any 30-day window triggers a manual review hold</w:t>
      </w:r>
    </w:p>
    <w:p>
      <w:pPr>
        <w:pStyle w:val="ListParagraph"/>
        <w:numPr>
          <w:ilvl w:val="0"/>
          <w:numId w:val="2"/>
        </w:numPr>
        <w:spacing w:after="60" w:before="60"/>
      </w:pPr>
      <w:r>
        <w:rPr>
          <w:rFonts w:ascii="Arial" w:cs="Arial" w:eastAsia="Arial" w:hAnsi="Arial"/>
          <w:color w:val="1A1A1A"/>
          <w:sz w:val="22"/>
          <w:szCs w:val="22"/>
        </w:rPr>
        <w:t xml:space="preserve">During the hold, the oracle continues to publish the last valid pre-anomaly score with flagged = true</w:t>
      </w:r>
    </w:p>
    <w:p>
      <w:pPr>
        <w:pStyle w:val="ListParagraph"/>
        <w:numPr>
          <w:ilvl w:val="0"/>
          <w:numId w:val="2"/>
        </w:numPr>
        <w:spacing w:after="60" w:before="60"/>
      </w:pPr>
      <w:r>
        <w:rPr>
          <w:rFonts w:ascii="Arial" w:cs="Arial" w:eastAsia="Arial" w:hAnsi="Arial"/>
          <w:color w:val="1A1A1A"/>
          <w:sz w:val="22"/>
          <w:szCs w:val="22"/>
        </w:rPr>
        <w:t xml:space="preserve">Reviews are completed within 72 hours; if the anomaly is explained by genuine new activity, the updated score is published and flagged reverts to false</w:t>
      </w:r>
    </w:p>
    <w:p>
      <w:pPr>
        <w:pStyle w:val="ListParagraph"/>
        <w:numPr>
          <w:ilvl w:val="0"/>
          <w:numId w:val="2"/>
        </w:numPr>
        <w:spacing w:after="60" w:before="60"/>
      </w:pPr>
      <w:r>
        <w:rPr>
          <w:rFonts w:ascii="Arial" w:cs="Arial" w:eastAsia="Arial" w:hAnsi="Arial"/>
          <w:color w:val="1A1A1A"/>
          <w:sz w:val="22"/>
          <w:szCs w:val="22"/>
        </w:rPr>
        <w:t xml:space="preserve">If the anomaly is consistent with manipulation, the Sybil cap is applied</w:t>
      </w:r>
    </w:p>
    <w:p>
      <w:pPr>
        <w:pStyle w:val="Heading1"/>
        <w:pBdr>
          <w:bottom w:val="single" w:color="2E75B6" w:sz="8" w:space="6"/>
        </w:pBdr>
        <w:spacing w:after="160" w:before="360"/>
      </w:pPr>
      <w:r>
        <w:rPr>
          <w:rFonts w:ascii="Arial" w:cs="Arial" w:eastAsia="Arial" w:hAnsi="Arial"/>
          <w:b/>
          <w:bCs/>
          <w:color w:val="1A3C5E"/>
          <w:sz w:val="32"/>
          <w:szCs w:val="32"/>
        </w:rPr>
        <w:t xml:space="preserve">6.  Aave Governance Controls</w:t>
      </w:r>
    </w:p>
    <w:p>
      <w:pPr>
        <w:spacing w:after="120" w:before="80"/>
      </w:pPr>
      <w:r>
        <w:rPr>
          <w:rFonts w:ascii="Arial" w:cs="Arial" w:eastAsia="Arial" w:hAnsi="Arial"/>
          <w:color w:val="1A1A1A"/>
          <w:sz w:val="22"/>
          <w:szCs w:val="22"/>
        </w:rPr>
        <w:t xml:space="preserve">All four of the following parameters are encoded in the ZentraScore integration adapter contract and are controllable exclusively by Aave governance via standard governance proposals. ZentraScore has no ability to modify these parameters unilaterally after deployment.</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rPr>
          <w:tblHeader/>
        </w:trPr>
        <w:tc>
          <w:tcPr>
            <w:tcW w:type="dxa" w:w="24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Parameter</w:t>
            </w:r>
          </w:p>
        </w:tc>
        <w:tc>
          <w:tcPr>
            <w:tcW w:type="dxa" w:w="24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Type</w:t>
            </w:r>
          </w:p>
        </w:tc>
        <w:tc>
          <w:tcPr>
            <w:tcW w:type="dxa" w:w="456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Description</w:t>
            </w:r>
          </w:p>
        </w:tc>
      </w:tr>
      <w:tr>
        <w:tc>
          <w:tcPr>
            <w:tcW w:type="dxa" w:w="24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Courier New" w:cs="Courier New" w:eastAsia="Courier New" w:hAnsi="Courier New"/>
                <w:b/>
                <w:bCs/>
                <w:color w:val="2E75B6"/>
                <w:sz w:val="20"/>
                <w:szCs w:val="20"/>
              </w:rPr>
              <w:t xml:space="preserve">maxDiscount</w:t>
            </w:r>
          </w:p>
        </w:tc>
        <w:tc>
          <w:tcPr>
            <w:tcW w:type="dxa" w:w="24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Courier New" w:cs="Courier New" w:eastAsia="Courier New" w:hAnsi="Courier New"/>
                <w:color w:val="404040"/>
                <w:sz w:val="20"/>
                <w:szCs w:val="20"/>
              </w:rPr>
              <w:t xml:space="preserve">uint16 (bps)</w:t>
            </w:r>
          </w:p>
        </w:tc>
        <w:tc>
          <w:tcPr>
            <w:tcW w:type="dxa" w:w="45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Hard cap on maximum APR discount. Set to 150 bps (1.5%) at launch. Adjustable only by Aave governance via standard proposal. ZentraScore cannot exceed this ceiling regardless of score output.</w:t>
            </w:r>
          </w:p>
        </w:tc>
      </w:tr>
      <w:tr>
        <w:tc>
          <w:tcPr>
            <w:tcW w:type="dxa" w:w="24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Courier New" w:cs="Courier New" w:eastAsia="Courier New" w:hAnsi="Courier New"/>
                <w:b/>
                <w:bCs/>
                <w:color w:val="2E75B6"/>
                <w:sz w:val="20"/>
                <w:szCs w:val="20"/>
              </w:rPr>
              <w:t xml:space="preserve">oracleActive</w:t>
            </w:r>
          </w:p>
        </w:tc>
        <w:tc>
          <w:tcPr>
            <w:tcW w:type="dxa" w:w="24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Courier New" w:cs="Courier New" w:eastAsia="Courier New" w:hAnsi="Courier New"/>
                <w:color w:val="404040"/>
                <w:sz w:val="20"/>
                <w:szCs w:val="20"/>
              </w:rPr>
              <w:t xml:space="preserve">bool</w:t>
            </w:r>
          </w:p>
        </w:tc>
        <w:tc>
          <w:tcPr>
            <w:tcW w:type="dxa" w:w="45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Master kill switch. When set to false by governance, all credit discounts immediately revert to zero for new borrows. Existing positions are unaffected. No emergency spell required — standard governance transaction.</w:t>
            </w:r>
          </w:p>
        </w:tc>
      </w:tr>
      <w:tr>
        <w:tc>
          <w:tcPr>
            <w:tcW w:type="dxa" w:w="24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Courier New" w:cs="Courier New" w:eastAsia="Courier New" w:hAnsi="Courier New"/>
                <w:b/>
                <w:bCs/>
                <w:color w:val="2E75B6"/>
                <w:sz w:val="20"/>
                <w:szCs w:val="20"/>
              </w:rPr>
              <w:t xml:space="preserve">scopeLock</w:t>
            </w:r>
          </w:p>
        </w:tc>
        <w:tc>
          <w:tcPr>
            <w:tcW w:type="dxa" w:w="24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Courier New" w:cs="Courier New" w:eastAsia="Courier New" w:hAnsi="Courier New"/>
                <w:color w:val="404040"/>
                <w:sz w:val="20"/>
                <w:szCs w:val="20"/>
              </w:rPr>
              <w:t xml:space="preserve">bool</w:t>
            </w:r>
          </w:p>
        </w:tc>
        <w:tc>
          <w:tcPr>
            <w:tcW w:type="dxa" w:w="45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Scope restriction flag. Prevents ZentraScore oracle from being used as the sole or primary basis for any LTV increase or undercollateralized position without a fresh, standalone governance proposal.</w:t>
            </w:r>
          </w:p>
        </w:tc>
      </w:tr>
      <w:tr>
        <w:tc>
          <w:tcPr>
            <w:tcW w:type="dxa" w:w="24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Courier New" w:cs="Courier New" w:eastAsia="Courier New" w:hAnsi="Courier New"/>
                <w:b/>
                <w:bCs/>
                <w:color w:val="2E75B6"/>
                <w:sz w:val="20"/>
                <w:szCs w:val="20"/>
              </w:rPr>
              <w:t xml:space="preserve">frozenVersion</w:t>
            </w:r>
          </w:p>
        </w:tc>
        <w:tc>
          <w:tcPr>
            <w:tcW w:type="dxa" w:w="24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Courier New" w:cs="Courier New" w:eastAsia="Courier New" w:hAnsi="Courier New"/>
                <w:color w:val="404040"/>
                <w:sz w:val="20"/>
                <w:szCs w:val="20"/>
              </w:rPr>
              <w:t xml:space="preserve">bytes32</w:t>
            </w:r>
          </w:p>
        </w:tc>
        <w:tc>
          <w:tcPr>
            <w:tcW w:type="dxa" w:w="45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Model version pin. Governance can freeze the integration to a specific ZentraScore model version, blocking adoption of any update until governance explicitly approves the new version.</w:t>
            </w:r>
          </w:p>
        </w:tc>
      </w:tr>
    </w:tbl>
    <w:p>
      <w:pPr>
        <w:spacing w:after="120" w:before="0"/>
      </w:pPr>
      <w:r>
        <w:t xml:space="preserve"/>
      </w:r>
    </w:p>
    <w:p>
      <w:pPr>
        <w:pStyle w:val="Heading2"/>
        <w:spacing w:after="120" w:before="280"/>
      </w:pPr>
      <w:r>
        <w:rPr>
          <w:rFonts w:ascii="Arial" w:cs="Arial" w:eastAsia="Arial" w:hAnsi="Arial"/>
          <w:b/>
          <w:bCs/>
          <w:color w:val="2E75B6"/>
          <w:sz w:val="26"/>
          <w:szCs w:val="26"/>
        </w:rPr>
        <w:t xml:space="preserve">6.1  Aave Integration Adapter Architecture</w:t>
      </w:r>
    </w:p>
    <w:p>
      <w:pPr>
        <w:pBdr>
          <w:top w:val="single" w:color="B8CCE4" w:sz="1"/>
          <w:left w:val="thick" w:color="2E75B6" w:sz="12"/>
          <w:bottom w:val="single" w:color="B8CCE4" w:sz="1"/>
          <w:right w:val="single" w:color="B8CCE4" w:sz="1"/>
        </w:pBdr>
        <w:shd w:fill="F4F6F8" w:val="clear"/>
        <w:spacing w:after="120" w:before="120"/>
        <w:ind w:left="480"/>
      </w:pPr>
      <w:r>
        <w:rPr>
          <w:rFonts w:ascii="Courier New" w:cs="Courier New" w:eastAsia="Courier New" w:hAnsi="Courier New"/>
          <w:color w:val="1A1A2E"/>
          <w:sz w:val="18"/>
          <w:szCs w:val="18"/>
        </w:rPr>
        <w:t xml:space="preserve">contract ZentraScoreAaveAdapter {</w:t>
        <w:br/>
        <w:t xml:space="preserve"/>
        <w:br/>
        <w:t xml:space="preserve">    ICreditScoreOracle public oracle;</w:t>
        <w:br/>
        <w:t xml:space="preserve">    uint16 public maxDiscount;   // bps, e.g. 150 = 1.5%</w:t>
        <w:br/>
        <w:t xml:space="preserve">    bool   public oracleActive;  // master kill switch</w:t>
        <w:br/>
        <w:t xml:space="preserve">    bool   public scopeLock;     // prevents LTV use without new governance vote</w:t>
        <w:br/>
        <w:t xml:space="preserve">    bytes32 public frozenVersion;// pin to specific model version</w:t>
        <w:br/>
        <w:t xml:space="preserve"/>
        <w:br/>
        <w:t xml:space="preserve">    // Called by Aave interest rate strategy at borrow time</w:t>
        <w:br/>
        <w:t xml:space="preserve">    function getDiscount(address borrower)</w:t>
        <w:br/>
        <w:t xml:space="preserve">        external view returns (uint16 discountBps)</w:t>
        <w:br/>
        <w:t xml:space="preserve">    {</w:t>
        <w:br/>
        <w:t xml:space="preserve">        if (!oracleActive) return 0;</w:t>
        <w:br/>
        <w:t xml:space="preserve"/>
        <w:br/>
        <w:t xml:space="preserve">        (uint16 score, bool valid, bool flagged, bytes32 version) =</w:t>
        <w:br/>
        <w:t xml:space="preserve">            oracle.getScore(borrower);</w:t>
        <w:br/>
        <w:t xml:space="preserve"/>
        <w:br/>
        <w:t xml:space="preserve">        if (!valid || flagged) return 0;</w:t>
        <w:br/>
        <w:t xml:space="preserve">        if (frozenVersion != bytes32(0) &amp;&amp; version != frozenVersion) return 0;</w:t>
        <w:br/>
        <w:t xml:space="preserve"/>
        <w:br/>
        <w:t xml:space="preserve">        uint16 raw = _scoreToDiscount(score);</w:t>
        <w:br/>
        <w:t xml:space="preserve">        return raw &gt; maxDiscount ? maxDiscount : raw;</w:t>
        <w:br/>
        <w:t xml:space="preserve">    }</w:t>
        <w:br/>
        <w:t xml:space="preserve"/>
        <w:br/>
        <w:t xml:space="preserve">    // All setter functions require onlyGovernance modifier</w:t>
        <w:br/>
        <w:t xml:space="preserve">    function setOracleActive(bool active) external onlyGovernance { ... }</w:t>
        <w:br/>
        <w:t xml:space="preserve">    function setMaxDiscount(uint16 bps) external onlyGovernance { ... }</w:t>
        <w:br/>
        <w:t xml:space="preserve">    function setScopeLock(bool locked) external onlyGovernance { ... }</w:t>
        <w:br/>
        <w:t xml:space="preserve">    function setFrozenVersion(bytes32 v) external onlyGovernance { ... }</w:t>
        <w:br/>
        <w:t xml:space="preserve">}</w:t>
      </w:r>
    </w:p>
    <w:p>
      <w:pPr>
        <w:spacing w:after="120" w:before="0"/>
      </w:pPr>
      <w:r>
        <w:t xml:space="preserve"/>
      </w:r>
    </w:p>
    <w:p>
      <w:pPr>
        <w:pStyle w:val="Heading2"/>
        <w:spacing w:after="120" w:before="280"/>
      </w:pPr>
      <w:r>
        <w:rPr>
          <w:rFonts w:ascii="Arial" w:cs="Arial" w:eastAsia="Arial" w:hAnsi="Arial"/>
          <w:b/>
          <w:bCs/>
          <w:color w:val="2E75B6"/>
          <w:sz w:val="26"/>
          <w:szCs w:val="26"/>
        </w:rPr>
        <w:t xml:space="preserve">6.2  Sunset Clause</w:t>
      </w:r>
    </w:p>
    <w:p>
      <w:pPr>
        <w:spacing w:after="120" w:before="80"/>
      </w:pPr>
      <w:r>
        <w:rPr>
          <w:rFonts w:ascii="Arial" w:cs="Arial" w:eastAsia="Arial" w:hAnsi="Arial"/>
          <w:color w:val="1A1A1A"/>
          <w:sz w:val="22"/>
          <w:szCs w:val="22"/>
        </w:rPr>
        <w:t xml:space="preserve">Phase 1 includes an automatic sunset provision. If Chaos Labs or LlamaRisk do not publish a Phase 1 performance review within 180 days of mainnet deployment, the oracleActive flag automatically reverts to false until the review is completed and governance votes to reactivate. This is encoded at the contract level, not as a soft commitment.</w:t>
      </w:r>
    </w:p>
    <w:p>
      <w:pPr>
        <w:pStyle w:val="Heading1"/>
        <w:pBdr>
          <w:bottom w:val="single" w:color="2E75B6" w:sz="8" w:space="6"/>
        </w:pBdr>
        <w:spacing w:after="160" w:before="360"/>
      </w:pPr>
      <w:r>
        <w:rPr>
          <w:rFonts w:ascii="Arial" w:cs="Arial" w:eastAsia="Arial" w:hAnsi="Arial"/>
          <w:b/>
          <w:bCs/>
          <w:color w:val="1A3C5E"/>
          <w:sz w:val="32"/>
          <w:szCs w:val="32"/>
        </w:rPr>
        <w:t xml:space="preserve">7.  Known Failure Modes</w:t>
      </w:r>
    </w:p>
    <w:p>
      <w:pPr>
        <w:spacing w:after="120" w:before="80"/>
      </w:pPr>
      <w:r>
        <w:rPr>
          <w:rFonts w:ascii="Arial" w:cs="Arial" w:eastAsia="Arial" w:hAnsi="Arial"/>
          <w:color w:val="1A1A1A"/>
          <w:sz w:val="22"/>
          <w:szCs w:val="22"/>
        </w:rPr>
        <w:t xml:space="preserve">The following table documents scenarios where ZentraScore is expected to underperform. We consider transparent disclosure of failure modes to be essential for Aave governance to make an informed decision about the integration. This section is not exhaustive — it covers the failure modes we are aware of as of v1.0.</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700"/>
        <w:gridCol w:w="3360"/>
        <w:gridCol w:w="3200"/>
      </w:tblGrid>
      <w:tr>
        <w:trPr>
          <w:tblHeader/>
        </w:trPr>
        <w:tc>
          <w:tcPr>
            <w:tcW w:type="dxa" w:w="21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Failure Mode</w:t>
            </w:r>
          </w:p>
        </w:tc>
        <w:tc>
          <w:tcPr>
            <w:tcW w:type="dxa" w:w="7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Severity</w:t>
            </w:r>
          </w:p>
        </w:tc>
        <w:tc>
          <w:tcPr>
            <w:tcW w:type="dxa" w:w="336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Description</w:t>
            </w:r>
          </w:p>
        </w:tc>
        <w:tc>
          <w:tcPr>
            <w:tcW w:type="dxa" w:w="320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Mitigation</w:t>
            </w:r>
          </w:p>
        </w:tc>
      </w:tr>
      <w:tr>
        <w:tc>
          <w:tcPr>
            <w:tcW w:type="dxa" w:w="21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Thin-history wallets</w:t>
            </w:r>
          </w:p>
        </w:tc>
        <w:tc>
          <w:tcPr>
            <w:tcW w:type="dxa" w:w="700"/>
            <w:tcBorders>
              <w:top w:val="single" w:color="B8CCE4" w:sz="1"/>
              <w:left w:val="single" w:color="B8CCE4" w:sz="1"/>
              <w:bottom w:val="single" w:color="B8CCE4" w:sz="1"/>
              <w:right w:val="single" w:color="B8CCE4" w:sz="1"/>
            </w:tcBorders>
            <w:shd w:fill="FFFFFF" w:val="clear"/>
            <w:tcMar>
              <w:top w:type="dxa" w:w="80"/>
              <w:left w:type="dxa" w:w="80"/>
              <w:bottom w:type="dxa" w:w="80"/>
              <w:right w:type="dxa" w:w="80"/>
            </w:tcMar>
            <w:vAlign w:val="center"/>
          </w:tcPr>
          <w:p>
            <w:pPr>
              <w:jc w:val="center"/>
            </w:pPr>
            <w:r>
              <w:rPr>
                <w:rFonts w:ascii="Arial" w:cs="Arial" w:eastAsia="Arial" w:hAnsi="Arial"/>
                <w:b/>
                <w:bCs/>
                <w:color w:val="D4850A"/>
                <w:sz w:val="18"/>
                <w:szCs w:val="18"/>
              </w:rPr>
              <w:t xml:space="preserve">Medium</w:t>
            </w:r>
          </w:p>
        </w:tc>
        <w:tc>
          <w:tcPr>
            <w:tcW w:type="dxa" w:w="33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Wallets with fewer than 6 months of DeFi activity produce unreliable scores due to insufficient data</w:t>
            </w:r>
          </w:p>
        </w:tc>
        <w:tc>
          <w:tcPr>
            <w:tcW w:type="dxa" w:w="3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Minimum activity threshold enforced: wallets below threshold return valid = false; no score is published</w:t>
            </w:r>
          </w:p>
        </w:tc>
      </w:tr>
      <w:tr>
        <w:tc>
          <w:tcPr>
            <w:tcW w:type="dxa" w:w="21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Single-protocol borrowers</w:t>
            </w:r>
          </w:p>
        </w:tc>
        <w:tc>
          <w:tcPr>
            <w:tcW w:type="dxa" w:w="700"/>
            <w:tcBorders>
              <w:top w:val="single" w:color="B8CCE4" w:sz="1"/>
              <w:left w:val="single" w:color="B8CCE4" w:sz="1"/>
              <w:bottom w:val="single" w:color="B8CCE4" w:sz="1"/>
              <w:right w:val="single" w:color="B8CCE4" w:sz="1"/>
            </w:tcBorders>
            <w:shd w:fill="EBF3FB" w:val="clear"/>
            <w:tcMar>
              <w:top w:type="dxa" w:w="80"/>
              <w:left w:type="dxa" w:w="80"/>
              <w:bottom w:type="dxa" w:w="80"/>
              <w:right w:type="dxa" w:w="80"/>
            </w:tcMar>
            <w:vAlign w:val="center"/>
          </w:tcPr>
          <w:p>
            <w:pPr>
              <w:jc w:val="center"/>
            </w:pPr>
            <w:r>
              <w:rPr>
                <w:rFonts w:ascii="Arial" w:cs="Arial" w:eastAsia="Arial" w:hAnsi="Arial"/>
                <w:b/>
                <w:bCs/>
                <w:color w:val="1E8449"/>
                <w:sz w:val="18"/>
                <w:szCs w:val="18"/>
              </w:rPr>
              <w:t xml:space="preserve">Low</w:t>
            </w:r>
          </w:p>
        </w:tc>
        <w:tc>
          <w:tcPr>
            <w:tcW w:type="dxa" w:w="33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Wallets that borrow exclusively on one protocol receive artificially low Protocol Breadth sub-scores</w:t>
            </w:r>
          </w:p>
        </w:tc>
        <w:tc>
          <w:tcPr>
            <w:tcW w:type="dxa" w:w="3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Protocol Breadth is only 10% of total weight; limited impact on final score; disclosed in score breakdown</w:t>
            </w:r>
          </w:p>
        </w:tc>
      </w:tr>
      <w:tr>
        <w:tc>
          <w:tcPr>
            <w:tcW w:type="dxa" w:w="21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Recent chain migrants</w:t>
            </w:r>
          </w:p>
        </w:tc>
        <w:tc>
          <w:tcPr>
            <w:tcW w:type="dxa" w:w="700"/>
            <w:tcBorders>
              <w:top w:val="single" w:color="B8CCE4" w:sz="1"/>
              <w:left w:val="single" w:color="B8CCE4" w:sz="1"/>
              <w:bottom w:val="single" w:color="B8CCE4" w:sz="1"/>
              <w:right w:val="single" w:color="B8CCE4" w:sz="1"/>
            </w:tcBorders>
            <w:shd w:fill="FFFFFF" w:val="clear"/>
            <w:tcMar>
              <w:top w:type="dxa" w:w="80"/>
              <w:left w:type="dxa" w:w="80"/>
              <w:bottom w:type="dxa" w:w="80"/>
              <w:right w:type="dxa" w:w="80"/>
            </w:tcMar>
            <w:vAlign w:val="center"/>
          </w:tcPr>
          <w:p>
            <w:pPr>
              <w:jc w:val="center"/>
            </w:pPr>
            <w:r>
              <w:rPr>
                <w:rFonts w:ascii="Arial" w:cs="Arial" w:eastAsia="Arial" w:hAnsi="Arial"/>
                <w:b/>
                <w:bCs/>
                <w:color w:val="D4850A"/>
                <w:sz w:val="18"/>
                <w:szCs w:val="18"/>
              </w:rPr>
              <w:t xml:space="preserve">Medium</w:t>
            </w:r>
          </w:p>
        </w:tc>
        <w:tc>
          <w:tcPr>
            <w:tcW w:type="dxa" w:w="33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Wallets with strong history on one chain but new to another score lower on the destination chain</w:t>
            </w:r>
          </w:p>
        </w:tc>
        <w:tc>
          <w:tcPr>
            <w:tcW w:type="dxa" w:w="3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Cross-chain history is aggregated; Ethereum history is fully portable to Arbitrum, Base, Avalanche, and Unichain scores</w:t>
            </w:r>
          </w:p>
        </w:tc>
      </w:tr>
      <w:tr>
        <w:tc>
          <w:tcPr>
            <w:tcW w:type="dxa" w:w="21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Flash loan activity</w:t>
            </w:r>
          </w:p>
        </w:tc>
        <w:tc>
          <w:tcPr>
            <w:tcW w:type="dxa" w:w="700"/>
            <w:tcBorders>
              <w:top w:val="single" w:color="B8CCE4" w:sz="1"/>
              <w:left w:val="single" w:color="B8CCE4" w:sz="1"/>
              <w:bottom w:val="single" w:color="B8CCE4" w:sz="1"/>
              <w:right w:val="single" w:color="B8CCE4" w:sz="1"/>
            </w:tcBorders>
            <w:shd w:fill="EBF3FB" w:val="clear"/>
            <w:tcMar>
              <w:top w:type="dxa" w:w="80"/>
              <w:left w:type="dxa" w:w="80"/>
              <w:bottom w:type="dxa" w:w="80"/>
              <w:right w:type="dxa" w:w="80"/>
            </w:tcMar>
            <w:vAlign w:val="center"/>
          </w:tcPr>
          <w:p>
            <w:pPr>
              <w:jc w:val="center"/>
            </w:pPr>
            <w:r>
              <w:rPr>
                <w:rFonts w:ascii="Arial" w:cs="Arial" w:eastAsia="Arial" w:hAnsi="Arial"/>
                <w:b/>
                <w:bCs/>
                <w:color w:val="D4850A"/>
                <w:sz w:val="18"/>
                <w:szCs w:val="18"/>
              </w:rPr>
              <w:t xml:space="preserve">Medium</w:t>
            </w:r>
          </w:p>
        </w:tc>
        <w:tc>
          <w:tcPr>
            <w:tcW w:type="dxa" w:w="33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Large flash loan volumes can inflate Asset Diversity metrics without genuine credit behavior</w:t>
            </w:r>
          </w:p>
        </w:tc>
        <w:tc>
          <w:tcPr>
            <w:tcW w:type="dxa" w:w="3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Flash loans (same-block borrow and repay) are explicitly excluded from all factor calculations at the indexing layer</w:t>
            </w:r>
          </w:p>
        </w:tc>
      </w:tr>
      <w:tr>
        <w:tc>
          <w:tcPr>
            <w:tcW w:type="dxa" w:w="21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Score lag on rapid behavior change</w:t>
            </w:r>
          </w:p>
        </w:tc>
        <w:tc>
          <w:tcPr>
            <w:tcW w:type="dxa" w:w="700"/>
            <w:tcBorders>
              <w:top w:val="single" w:color="B8CCE4" w:sz="1"/>
              <w:left w:val="single" w:color="B8CCE4" w:sz="1"/>
              <w:bottom w:val="single" w:color="B8CCE4" w:sz="1"/>
              <w:right w:val="single" w:color="B8CCE4" w:sz="1"/>
            </w:tcBorders>
            <w:shd w:fill="FFFFFF" w:val="clear"/>
            <w:tcMar>
              <w:top w:type="dxa" w:w="80"/>
              <w:left w:type="dxa" w:w="80"/>
              <w:bottom w:type="dxa" w:w="80"/>
              <w:right w:type="dxa" w:w="80"/>
            </w:tcMar>
            <w:vAlign w:val="center"/>
          </w:tcPr>
          <w:p>
            <w:pPr>
              <w:jc w:val="center"/>
            </w:pPr>
            <w:r>
              <w:rPr>
                <w:rFonts w:ascii="Arial" w:cs="Arial" w:eastAsia="Arial" w:hAnsi="Arial"/>
                <w:b/>
                <w:bCs/>
                <w:color w:val="D4850A"/>
                <w:sz w:val="18"/>
                <w:szCs w:val="18"/>
              </w:rPr>
              <w:t xml:space="preserve">Medium</w:t>
            </w:r>
          </w:p>
        </w:tc>
        <w:tc>
          <w:tcPr>
            <w:tcW w:type="dxa" w:w="33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A wallet that defaults may retain its prior high score for up to 7 days during the TTL window</w:t>
            </w:r>
          </w:p>
        </w:tc>
        <w:tc>
          <w:tcPr>
            <w:tcW w:type="dxa" w:w="3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Liquidation events trigger immediate score recompute and oracle republication, bypassing the standard TTL</w:t>
            </w:r>
          </w:p>
        </w:tc>
      </w:tr>
      <w:tr>
        <w:tc>
          <w:tcPr>
            <w:tcW w:type="dxa" w:w="21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Coordinated Sybil attacks at scale</w:t>
            </w:r>
          </w:p>
        </w:tc>
        <w:tc>
          <w:tcPr>
            <w:tcW w:type="dxa" w:w="700"/>
            <w:tcBorders>
              <w:top w:val="single" w:color="B8CCE4" w:sz="1"/>
              <w:left w:val="single" w:color="B8CCE4" w:sz="1"/>
              <w:bottom w:val="single" w:color="B8CCE4" w:sz="1"/>
              <w:right w:val="single" w:color="B8CCE4" w:sz="1"/>
            </w:tcBorders>
            <w:shd w:fill="EBF3FB" w:val="clear"/>
            <w:tcMar>
              <w:top w:type="dxa" w:w="80"/>
              <w:left w:type="dxa" w:w="80"/>
              <w:bottom w:type="dxa" w:w="80"/>
              <w:right w:type="dxa" w:w="80"/>
            </w:tcMar>
            <w:vAlign w:val="center"/>
          </w:tcPr>
          <w:p>
            <w:pPr>
              <w:jc w:val="center"/>
            </w:pPr>
            <w:r>
              <w:rPr>
                <w:rFonts w:ascii="Arial" w:cs="Arial" w:eastAsia="Arial" w:hAnsi="Arial"/>
                <w:b/>
                <w:bCs/>
                <w:color w:val="C0392B"/>
                <w:sz w:val="18"/>
                <w:szCs w:val="18"/>
              </w:rPr>
              <w:t xml:space="preserve">High (mitigated)</w:t>
            </w:r>
          </w:p>
        </w:tc>
        <w:tc>
          <w:tcPr>
            <w:tcW w:type="dxa" w:w="33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A well-resourced attacker operating hundreds of wallets over 12+ months could attempt to game scores</w:t>
            </w:r>
          </w:p>
        </w:tc>
        <w:tc>
          <w:tcPr>
            <w:tcW w:type="dxa" w:w="3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Anti-Sybil layer active; Phase 1 rate discounts only (no LTV change) make ROI negative for most scenarios</w:t>
            </w:r>
          </w:p>
        </w:tc>
      </w:tr>
      <w:tr>
        <w:tc>
          <w:tcPr>
            <w:tcW w:type="dxa" w:w="21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Protocol data gaps</w:t>
            </w:r>
          </w:p>
        </w:tc>
        <w:tc>
          <w:tcPr>
            <w:tcW w:type="dxa" w:w="700"/>
            <w:tcBorders>
              <w:top w:val="single" w:color="B8CCE4" w:sz="1"/>
              <w:left w:val="single" w:color="B8CCE4" w:sz="1"/>
              <w:bottom w:val="single" w:color="B8CCE4" w:sz="1"/>
              <w:right w:val="single" w:color="B8CCE4" w:sz="1"/>
            </w:tcBorders>
            <w:shd w:fill="FFFFFF" w:val="clear"/>
            <w:tcMar>
              <w:top w:type="dxa" w:w="80"/>
              <w:left w:type="dxa" w:w="80"/>
              <w:bottom w:type="dxa" w:w="80"/>
              <w:right w:type="dxa" w:w="80"/>
            </w:tcMar>
            <w:vAlign w:val="center"/>
          </w:tcPr>
          <w:p>
            <w:pPr>
              <w:jc w:val="center"/>
            </w:pPr>
            <w:r>
              <w:rPr>
                <w:rFonts w:ascii="Arial" w:cs="Arial" w:eastAsia="Arial" w:hAnsi="Arial"/>
                <w:b/>
                <w:bCs/>
                <w:color w:val="1E8449"/>
                <w:sz w:val="18"/>
                <w:szCs w:val="18"/>
              </w:rPr>
              <w:t xml:space="preserve">Low</w:t>
            </w:r>
          </w:p>
        </w:tc>
        <w:tc>
          <w:tcPr>
            <w:tcW w:type="dxa" w:w="336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Protocols not yet indexed by ZentraScore are invisible to the model and do not contribute to scores</w:t>
            </w:r>
          </w:p>
        </w:tc>
        <w:tc>
          <w:tcPr>
            <w:tcW w:type="dxa" w:w="320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Full indexed protocol list is publicly documented; gaps acknowledged in the score breakdown UI for each wallet</w:t>
            </w:r>
          </w:p>
        </w:tc>
      </w:tr>
      <w:tr>
        <w:tc>
          <w:tcPr>
            <w:tcW w:type="dxa" w:w="21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Oracle network downtime</w:t>
            </w:r>
          </w:p>
        </w:tc>
        <w:tc>
          <w:tcPr>
            <w:tcW w:type="dxa" w:w="700"/>
            <w:tcBorders>
              <w:top w:val="single" w:color="B8CCE4" w:sz="1"/>
              <w:left w:val="single" w:color="B8CCE4" w:sz="1"/>
              <w:bottom w:val="single" w:color="B8CCE4" w:sz="1"/>
              <w:right w:val="single" w:color="B8CCE4" w:sz="1"/>
            </w:tcBorders>
            <w:shd w:fill="EBF3FB" w:val="clear"/>
            <w:tcMar>
              <w:top w:type="dxa" w:w="80"/>
              <w:left w:type="dxa" w:w="80"/>
              <w:bottom w:type="dxa" w:w="80"/>
              <w:right w:type="dxa" w:w="80"/>
            </w:tcMar>
            <w:vAlign w:val="center"/>
          </w:tcPr>
          <w:p>
            <w:pPr>
              <w:jc w:val="center"/>
            </w:pPr>
            <w:r>
              <w:rPr>
                <w:rFonts w:ascii="Arial" w:cs="Arial" w:eastAsia="Arial" w:hAnsi="Arial"/>
                <w:b/>
                <w:bCs/>
                <w:color w:val="1E8449"/>
                <w:sz w:val="18"/>
                <w:szCs w:val="18"/>
              </w:rPr>
              <w:t xml:space="preserve">Low</w:t>
            </w:r>
          </w:p>
        </w:tc>
        <w:tc>
          <w:tcPr>
            <w:tcW w:type="dxa" w:w="336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If 2 of 3 oracle nodes go offline, score updates cannot be published and TTL may expire</w:t>
            </w:r>
          </w:p>
        </w:tc>
        <w:tc>
          <w:tcPr>
            <w:tcW w:type="dxa" w:w="320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Circuit breaker in Aave adapter: if oracle returns valid = false, integration falls back to standard rates instantly</w:t>
            </w:r>
          </w:p>
        </w:tc>
      </w:tr>
    </w:tbl>
    <w:p>
      <w:pPr>
        <w:pStyle w:val="Heading1"/>
        <w:pBdr>
          <w:bottom w:val="single" w:color="2E75B6" w:sz="8" w:space="6"/>
        </w:pBdr>
        <w:spacing w:after="160" w:before="360"/>
      </w:pPr>
      <w:r>
        <w:rPr>
          <w:rFonts w:ascii="Arial" w:cs="Arial" w:eastAsia="Arial" w:hAnsi="Arial"/>
          <w:b/>
          <w:bCs/>
          <w:color w:val="1A3C5E"/>
          <w:sz w:val="32"/>
          <w:szCs w:val="32"/>
        </w:rPr>
        <w:t xml:space="preserve">8.  Versioning and Change Management</w:t>
      </w:r>
    </w:p>
    <w:p>
      <w:pPr>
        <w:pStyle w:val="Heading2"/>
        <w:spacing w:after="120" w:before="280"/>
      </w:pPr>
      <w:r>
        <w:rPr>
          <w:rFonts w:ascii="Arial" w:cs="Arial" w:eastAsia="Arial" w:hAnsi="Arial"/>
          <w:b/>
          <w:bCs/>
          <w:color w:val="2E75B6"/>
          <w:sz w:val="26"/>
          <w:szCs w:val="26"/>
        </w:rPr>
        <w:t xml:space="preserve">8.1  Version Numbering</w:t>
      </w:r>
    </w:p>
    <w:p>
      <w:pPr>
        <w:spacing w:after="120" w:before="80"/>
      </w:pPr>
      <w:r>
        <w:rPr>
          <w:rFonts w:ascii="Arial" w:cs="Arial" w:eastAsia="Arial" w:hAnsi="Arial"/>
          <w:color w:val="1A1A1A"/>
          <w:sz w:val="22"/>
          <w:szCs w:val="22"/>
        </w:rPr>
        <w:t xml:space="preserve">ZentraScore uses semantic versioning for all methodology changes:</w:t>
      </w:r>
    </w:p>
    <w:p>
      <w:pPr>
        <w:pStyle w:val="ListParagraph"/>
        <w:numPr>
          <w:ilvl w:val="0"/>
          <w:numId w:val="2"/>
        </w:numPr>
        <w:spacing w:after="60" w:before="60"/>
      </w:pPr>
      <w:r>
        <w:rPr>
          <w:rFonts w:ascii="Arial" w:cs="Arial" w:eastAsia="Arial" w:hAnsi="Arial"/>
          <w:color w:val="1A1A1A"/>
          <w:sz w:val="22"/>
          <w:szCs w:val="22"/>
        </w:rPr>
        <w:t xml:space="preserve">Major version (e.g. 1.x to 2.x): Change to the scoring model class, addition or removal of a scoring factor, or weight rebalancing exceeding 10 percentage points on any single factor. Requires 30-day governance notice and explicit Aave governance vote to adopt.</w:t>
      </w:r>
    </w:p>
    <w:p>
      <w:pPr>
        <w:pStyle w:val="ListParagraph"/>
        <w:numPr>
          <w:ilvl w:val="0"/>
          <w:numId w:val="2"/>
        </w:numPr>
        <w:spacing w:after="60" w:before="60"/>
      </w:pPr>
      <w:r>
        <w:rPr>
          <w:rFonts w:ascii="Arial" w:cs="Arial" w:eastAsia="Arial" w:hAnsi="Arial"/>
          <w:color w:val="1A1A1A"/>
          <w:sz w:val="22"/>
          <w:szCs w:val="22"/>
        </w:rPr>
        <w:t xml:space="preserve">Minor version (e.g. 1.0 to 1.1): Addition of a new indexed protocol, new chain support, or threshold adjustments within the existing model. Requires 14-day governance notice. Aave governance may freeze at current version using frozenVersion parameter.</w:t>
      </w:r>
    </w:p>
    <w:p>
      <w:pPr>
        <w:pStyle w:val="ListParagraph"/>
        <w:numPr>
          <w:ilvl w:val="0"/>
          <w:numId w:val="2"/>
        </w:numPr>
        <w:spacing w:after="60" w:before="60"/>
      </w:pPr>
      <w:r>
        <w:rPr>
          <w:rFonts w:ascii="Arial" w:cs="Arial" w:eastAsia="Arial" w:hAnsi="Arial"/>
          <w:color w:val="1A1A1A"/>
          <w:sz w:val="22"/>
          <w:szCs w:val="22"/>
        </w:rPr>
        <w:t xml:space="preserve">Patch version (e.g. 1.0.0 to 1.0.1): Bug fixes, data correction, or anti-fraud parameter tuning with no impact on the scoring formula. Requires 7-day governance notice.</w:t>
      </w:r>
    </w:p>
    <w:p>
      <w:pPr>
        <w:pStyle w:val="Heading2"/>
        <w:spacing w:after="120" w:before="280"/>
      </w:pPr>
      <w:r>
        <w:rPr>
          <w:rFonts w:ascii="Arial" w:cs="Arial" w:eastAsia="Arial" w:hAnsi="Arial"/>
          <w:b/>
          <w:bCs/>
          <w:color w:val="2E75B6"/>
          <w:sz w:val="26"/>
          <w:szCs w:val="26"/>
        </w:rPr>
        <w:t xml:space="preserve">8.2  Notification Process</w:t>
      </w:r>
    </w:p>
    <w:p>
      <w:pPr>
        <w:spacing w:after="120" w:before="80"/>
      </w:pPr>
      <w:r>
        <w:rPr>
          <w:rFonts w:ascii="Arial" w:cs="Arial" w:eastAsia="Arial" w:hAnsi="Arial"/>
          <w:color w:val="1A1A1A"/>
          <w:sz w:val="22"/>
          <w:szCs w:val="22"/>
        </w:rPr>
        <w:t xml:space="preserve">All methodology changes will be announced on governance.aave.com in a dedicated ZentraScore methodology thread at least 14 days before taking effect (30 days for major versions). The notification will include:</w:t>
      </w:r>
    </w:p>
    <w:p>
      <w:pPr>
        <w:pStyle w:val="ListParagraph"/>
        <w:numPr>
          <w:ilvl w:val="0"/>
          <w:numId w:val="2"/>
        </w:numPr>
        <w:spacing w:after="60" w:before="60"/>
      </w:pPr>
      <w:r>
        <w:rPr>
          <w:rFonts w:ascii="Arial" w:cs="Arial" w:eastAsia="Arial" w:hAnsi="Arial"/>
          <w:color w:val="1A1A1A"/>
          <w:sz w:val="22"/>
          <w:szCs w:val="22"/>
        </w:rPr>
        <w:t xml:space="preserve">A summary of what is changing and why</w:t>
      </w:r>
    </w:p>
    <w:p>
      <w:pPr>
        <w:pStyle w:val="ListParagraph"/>
        <w:numPr>
          <w:ilvl w:val="0"/>
          <w:numId w:val="2"/>
        </w:numPr>
        <w:spacing w:after="60" w:before="60"/>
      </w:pPr>
      <w:r>
        <w:rPr>
          <w:rFonts w:ascii="Arial" w:cs="Arial" w:eastAsia="Arial" w:hAnsi="Arial"/>
          <w:color w:val="1A1A1A"/>
          <w:sz w:val="22"/>
          <w:szCs w:val="22"/>
        </w:rPr>
        <w:t xml:space="preserve">The new version number and effective date</w:t>
      </w:r>
    </w:p>
    <w:p>
      <w:pPr>
        <w:pStyle w:val="ListParagraph"/>
        <w:numPr>
          <w:ilvl w:val="0"/>
          <w:numId w:val="2"/>
        </w:numPr>
        <w:spacing w:after="60" w:before="60"/>
      </w:pPr>
      <w:r>
        <w:rPr>
          <w:rFonts w:ascii="Arial" w:cs="Arial" w:eastAsia="Arial" w:hAnsi="Arial"/>
          <w:color w:val="1A1A1A"/>
          <w:sz w:val="22"/>
          <w:szCs w:val="22"/>
        </w:rPr>
        <w:t xml:space="preserve">A diff-style comparison of the old and new methodology for the affected sections</w:t>
      </w:r>
    </w:p>
    <w:p>
      <w:pPr>
        <w:pStyle w:val="ListParagraph"/>
        <w:numPr>
          <w:ilvl w:val="0"/>
          <w:numId w:val="2"/>
        </w:numPr>
        <w:spacing w:after="60" w:before="60"/>
      </w:pPr>
      <w:r>
        <w:rPr>
          <w:rFonts w:ascii="Arial" w:cs="Arial" w:eastAsia="Arial" w:hAnsi="Arial"/>
          <w:color w:val="1A1A1A"/>
          <w:sz w:val="22"/>
          <w:szCs w:val="22"/>
        </w:rPr>
        <w:t xml:space="preserve">An assessment of expected impact on existing scores (directional, not wallet-level)</w:t>
      </w:r>
    </w:p>
    <w:p>
      <w:pPr>
        <w:spacing w:after="120" w:before="0"/>
      </w:pPr>
      <w:r>
        <w:t xml:space="preserve"/>
      </w:r>
    </w:p>
    <w:p>
      <w:pPr>
        <w:spacing w:after="120" w:before="80"/>
      </w:pPr>
      <w:r>
        <w:rPr>
          <w:rFonts w:ascii="Arial" w:cs="Arial" w:eastAsia="Arial" w:hAnsi="Arial"/>
          <w:color w:val="1A1A1A"/>
          <w:sz w:val="22"/>
          <w:szCs w:val="22"/>
        </w:rPr>
        <w:t xml:space="preserve">Aave governance may respond to any notification by setting frozenVersion to the current version, blocking adoption of the new version for Aave's integration until governance explicitly approves it.</w:t>
      </w:r>
    </w:p>
    <w:p>
      <w:pPr>
        <w:pStyle w:val="Heading2"/>
        <w:spacing w:after="120" w:before="280"/>
      </w:pPr>
      <w:r>
        <w:rPr>
          <w:rFonts w:ascii="Arial" w:cs="Arial" w:eastAsia="Arial" w:hAnsi="Arial"/>
          <w:b/>
          <w:bCs/>
          <w:color w:val="2E75B6"/>
          <w:sz w:val="26"/>
          <w:szCs w:val="26"/>
        </w:rPr>
        <w:t xml:space="preserve">8.3  Version Log</w:t>
      </w:r>
    </w:p>
    <w:p>
      <w:pPr>
        <w:spacing w:after="120" w:before="80"/>
      </w:pPr>
      <w:r>
        <w:rPr>
          <w:rFonts w:ascii="Arial" w:cs="Arial" w:eastAsia="Arial" w:hAnsi="Arial"/>
          <w:color w:val="1A1A1A"/>
          <w:sz w:val="22"/>
          <w:szCs w:val="22"/>
        </w:rPr>
        <w:t xml:space="preserve">A public version changelog is maintained at https://zentrascore.com/changelog and mirrored to a public GitHub repository. All versions are immutably recorded.</w:t>
      </w:r>
    </w:p>
    <w:p>
      <w:pPr>
        <w:pStyle w:val="Heading1"/>
        <w:pBdr>
          <w:bottom w:val="single" w:color="2E75B6" w:sz="8" w:space="6"/>
        </w:pBdr>
        <w:spacing w:after="160" w:before="360"/>
      </w:pPr>
      <w:r>
        <w:rPr>
          <w:rFonts w:ascii="Arial" w:cs="Arial" w:eastAsia="Arial" w:hAnsi="Arial"/>
          <w:b/>
          <w:bCs/>
          <w:color w:val="1A3C5E"/>
          <w:sz w:val="32"/>
          <w:szCs w:val="32"/>
        </w:rPr>
        <w:t xml:space="preserve">9.  Independent Verifiability</w:t>
      </w:r>
    </w:p>
    <w:p>
      <w:pPr>
        <w:pStyle w:val="Heading2"/>
        <w:spacing w:after="120" w:before="280"/>
      </w:pPr>
      <w:r>
        <w:rPr>
          <w:rFonts w:ascii="Arial" w:cs="Arial" w:eastAsia="Arial" w:hAnsi="Arial"/>
          <w:b/>
          <w:bCs/>
          <w:color w:val="2E75B6"/>
          <w:sz w:val="26"/>
          <w:szCs w:val="26"/>
        </w:rPr>
        <w:t xml:space="preserve">9.1  Public Oracle Contracts</w:t>
      </w:r>
    </w:p>
    <w:p>
      <w:pPr>
        <w:spacing w:after="120" w:before="80"/>
      </w:pPr>
      <w:r>
        <w:rPr>
          <w:rFonts w:ascii="Arial" w:cs="Arial" w:eastAsia="Arial" w:hAnsi="Arial"/>
          <w:color w:val="1A1A1A"/>
          <w:sz w:val="22"/>
          <w:szCs w:val="22"/>
        </w:rPr>
        <w:t xml:space="preserve">The CreditScoreOracle contract is deployed and verified on all five indexed chains. Any party may call getScore(address) on-chain at any time to verify the published score for any wallet. Contract addresses will be published in the ARFC technical annex and maintained at zentrascore.com/contracts.</w:t>
      </w:r>
    </w:p>
    <w:p>
      <w:pPr>
        <w:pStyle w:val="Heading2"/>
        <w:spacing w:after="120" w:before="280"/>
      </w:pPr>
      <w:r>
        <w:rPr>
          <w:rFonts w:ascii="Arial" w:cs="Arial" w:eastAsia="Arial" w:hAnsi="Arial"/>
          <w:b/>
          <w:bCs/>
          <w:color w:val="2E75B6"/>
          <w:sz w:val="26"/>
          <w:szCs w:val="26"/>
        </w:rPr>
        <w:t xml:space="preserve">9.2  Open-Source Indexing Logic</w:t>
      </w:r>
    </w:p>
    <w:p>
      <w:pPr>
        <w:spacing w:after="120" w:before="80"/>
      </w:pPr>
      <w:r>
        <w:rPr>
          <w:rFonts w:ascii="Arial" w:cs="Arial" w:eastAsia="Arial" w:hAnsi="Arial"/>
          <w:color w:val="1A1A1A"/>
          <w:sz w:val="22"/>
          <w:szCs w:val="22"/>
        </w:rPr>
        <w:t xml:space="preserve">ZentraScore commits to open-sourcing the event indexing and sub-score normalization logic on GitHub prior to the ARFC vote. This includes:</w:t>
      </w:r>
    </w:p>
    <w:p>
      <w:pPr>
        <w:pStyle w:val="ListParagraph"/>
        <w:numPr>
          <w:ilvl w:val="0"/>
          <w:numId w:val="2"/>
        </w:numPr>
        <w:spacing w:after="60" w:before="60"/>
      </w:pPr>
      <w:r>
        <w:rPr>
          <w:rFonts w:ascii="Arial" w:cs="Arial" w:eastAsia="Arial" w:hAnsi="Arial"/>
          <w:color w:val="1A1A1A"/>
          <w:sz w:val="22"/>
          <w:szCs w:val="22"/>
        </w:rPr>
        <w:t xml:space="preserve">The complete event indexing pipeline (which events are captured and how)</w:t>
      </w:r>
    </w:p>
    <w:p>
      <w:pPr>
        <w:pStyle w:val="ListParagraph"/>
        <w:numPr>
          <w:ilvl w:val="0"/>
          <w:numId w:val="2"/>
        </w:numPr>
        <w:spacing w:after="60" w:before="60"/>
      </w:pPr>
      <w:r>
        <w:rPr>
          <w:rFonts w:ascii="Arial" w:cs="Arial" w:eastAsia="Arial" w:hAnsi="Arial"/>
          <w:color w:val="1A1A1A"/>
          <w:sz w:val="22"/>
          <w:szCs w:val="22"/>
        </w:rPr>
        <w:t xml:space="preserve">The normalization functions for each of the six sub-scores</w:t>
      </w:r>
    </w:p>
    <w:p>
      <w:pPr>
        <w:pStyle w:val="ListParagraph"/>
        <w:numPr>
          <w:ilvl w:val="0"/>
          <w:numId w:val="2"/>
        </w:numPr>
        <w:spacing w:after="60" w:before="60"/>
      </w:pPr>
      <w:r>
        <w:rPr>
          <w:rFonts w:ascii="Arial" w:cs="Arial" w:eastAsia="Arial" w:hAnsi="Arial"/>
          <w:color w:val="1A1A1A"/>
          <w:sz w:val="22"/>
          <w:szCs w:val="22"/>
        </w:rPr>
        <w:t xml:space="preserve">The anti-fraud detection algorithms (Sybil, wash-repayment, circular fund flow, anomaly)</w:t>
      </w:r>
    </w:p>
    <w:p>
      <w:pPr>
        <w:pStyle w:val="ListParagraph"/>
        <w:numPr>
          <w:ilvl w:val="0"/>
          <w:numId w:val="2"/>
        </w:numPr>
        <w:spacing w:after="60" w:before="60"/>
      </w:pPr>
      <w:r>
        <w:rPr>
          <w:rFonts w:ascii="Arial" w:cs="Arial" w:eastAsia="Arial" w:hAnsi="Arial"/>
          <w:color w:val="1A1A1A"/>
          <w:sz w:val="22"/>
          <w:szCs w:val="22"/>
        </w:rPr>
        <w:t xml:space="preserve">The minimum activity threshold logic</w:t>
      </w:r>
    </w:p>
    <w:p>
      <w:pPr>
        <w:spacing w:after="120" w:before="0"/>
      </w:pPr>
      <w:r>
        <w:t xml:space="preserve"/>
      </w:r>
    </w:p>
    <w:p>
      <w:pPr>
        <w:spacing w:after="120" w:before="80"/>
      </w:pPr>
      <w:r>
        <w:rPr>
          <w:rFonts w:ascii="Arial" w:cs="Arial" w:eastAsia="Arial" w:hAnsi="Arial"/>
          <w:color w:val="1A1A1A"/>
          <w:sz w:val="22"/>
          <w:szCs w:val="22"/>
        </w:rPr>
        <w:t xml:space="preserve">The factor weights will not be publicly disclosed in the open-source repository but will be made available to Chaos Labs and LlamaRisk under a formal data agreement. We are open to governance directing us to disclose weights publicly if the community determines this is necessary.</w:t>
      </w:r>
    </w:p>
    <w:p>
      <w:pPr>
        <w:pStyle w:val="Heading2"/>
        <w:spacing w:after="120" w:before="280"/>
      </w:pPr>
      <w:r>
        <w:rPr>
          <w:rFonts w:ascii="Arial" w:cs="Arial" w:eastAsia="Arial" w:hAnsi="Arial"/>
          <w:b/>
          <w:bCs/>
          <w:color w:val="2E75B6"/>
          <w:sz w:val="26"/>
          <w:szCs w:val="26"/>
        </w:rPr>
        <w:t xml:space="preserve">9.3  Score Explorer</w:t>
      </w:r>
    </w:p>
    <w:p>
      <w:pPr>
        <w:spacing w:after="120" w:before="80"/>
      </w:pPr>
      <w:r>
        <w:rPr>
          <w:rFonts w:ascii="Arial" w:cs="Arial" w:eastAsia="Arial" w:hAnsi="Arial"/>
          <w:color w:val="1A1A1A"/>
          <w:sz w:val="22"/>
          <w:szCs w:val="22"/>
        </w:rPr>
        <w:t xml:space="preserve">Any wallet's ZentraScore can be looked up at zentrascore.com, which displays the overall score, the sub-score breakdown for all six factors, the factors that most positively and negatively affect the score, and a flag if the wallet is under anti-fraud review.</w:t>
      </w:r>
    </w:p>
    <w:p>
      <w:pPr>
        <w:pStyle w:val="Heading2"/>
        <w:spacing w:after="120" w:before="280"/>
      </w:pPr>
      <w:r>
        <w:rPr>
          <w:rFonts w:ascii="Arial" w:cs="Arial" w:eastAsia="Arial" w:hAnsi="Arial"/>
          <w:b/>
          <w:bCs/>
          <w:color w:val="2E75B6"/>
          <w:sz w:val="26"/>
          <w:szCs w:val="26"/>
        </w:rPr>
        <w:t xml:space="preserve">9.4  Discrepancy Reporting</w:t>
      </w:r>
    </w:p>
    <w:p>
      <w:pPr>
        <w:spacing w:after="120" w:before="80"/>
      </w:pPr>
      <w:r>
        <w:rPr>
          <w:rFonts w:ascii="Arial" w:cs="Arial" w:eastAsia="Arial" w:hAnsi="Arial"/>
          <w:color w:val="1A1A1A"/>
          <w:sz w:val="22"/>
          <w:szCs w:val="22"/>
        </w:rPr>
        <w:t xml:space="preserve">Wallets or protocols that believe a score is incorrect may file a discrepancy report via support@zentrascore.com or through a dedicated on-chain event. ZentraScore commits to reviewing all discrepancy reports within 72 hours and publishing the outcome publicly.</w:t>
      </w:r>
    </w:p>
    <w:p>
      <w:pPr>
        <w:pStyle w:val="Heading1"/>
        <w:pBdr>
          <w:bottom w:val="single" w:color="2E75B6" w:sz="8" w:space="6"/>
        </w:pBdr>
        <w:spacing w:after="160" w:before="360"/>
      </w:pPr>
      <w:r>
        <w:rPr>
          <w:rFonts w:ascii="Arial" w:cs="Arial" w:eastAsia="Arial" w:hAnsi="Arial"/>
          <w:b/>
          <w:bCs/>
          <w:color w:val="1A3C5E"/>
          <w:sz w:val="32"/>
          <w:szCs w:val="32"/>
        </w:rPr>
        <w:t xml:space="preserve">10.  Back-Testing and Risk Assessment</w:t>
      </w:r>
    </w:p>
    <w:p>
      <w:pPr>
        <w:pStyle w:val="Heading2"/>
        <w:spacing w:after="120" w:before="280"/>
      </w:pPr>
      <w:r>
        <w:rPr>
          <w:rFonts w:ascii="Arial" w:cs="Arial" w:eastAsia="Arial" w:hAnsi="Arial"/>
          <w:b/>
          <w:bCs/>
          <w:color w:val="2E75B6"/>
          <w:sz w:val="26"/>
          <w:szCs w:val="26"/>
        </w:rPr>
        <w:t xml:space="preserve">10.1  Data Available for Independent Review</w:t>
      </w:r>
    </w:p>
    <w:p>
      <w:pPr>
        <w:spacing w:after="120" w:before="80"/>
      </w:pPr>
      <w:r>
        <w:rPr>
          <w:rFonts w:ascii="Arial" w:cs="Arial" w:eastAsia="Arial" w:hAnsi="Arial"/>
          <w:color w:val="1A1A1A"/>
          <w:sz w:val="22"/>
          <w:szCs w:val="22"/>
        </w:rPr>
        <w:t xml:space="preserve">ZentraScore will provide the following datasets to Chaos Labs and LlamaRisk upon their confirmation of engagement for the Phase 1 back-test:</w:t>
      </w:r>
    </w:p>
    <w:p>
      <w:pPr>
        <w:pStyle w:val="ListParagraph"/>
        <w:numPr>
          <w:ilvl w:val="0"/>
          <w:numId w:val="2"/>
        </w:numPr>
        <w:spacing w:after="60" w:before="60"/>
      </w:pPr>
      <w:r>
        <w:rPr>
          <w:rFonts w:ascii="Arial" w:cs="Arial" w:eastAsia="Arial" w:hAnsi="Arial"/>
          <w:color w:val="1A1A1A"/>
          <w:sz w:val="22"/>
          <w:szCs w:val="22"/>
        </w:rPr>
        <w:t xml:space="preserve">Full historical score dataset for all 2.4M+ indexed wallets from protocol genesis to May 2026</w:t>
      </w:r>
    </w:p>
    <w:p>
      <w:pPr>
        <w:pStyle w:val="ListParagraph"/>
        <w:numPr>
          <w:ilvl w:val="0"/>
          <w:numId w:val="2"/>
        </w:numPr>
        <w:spacing w:after="60" w:before="60"/>
      </w:pPr>
      <w:r>
        <w:rPr>
          <w:rFonts w:ascii="Arial" w:cs="Arial" w:eastAsia="Arial" w:hAnsi="Arial"/>
          <w:color w:val="1A1A1A"/>
          <w:sz w:val="22"/>
          <w:szCs w:val="22"/>
        </w:rPr>
        <w:t xml:space="preserve">Labeled default and liquidation events cross-referenced against wallet scores at time of borrow (to test score predictive validity)</w:t>
      </w:r>
    </w:p>
    <w:p>
      <w:pPr>
        <w:pStyle w:val="ListParagraph"/>
        <w:numPr>
          <w:ilvl w:val="0"/>
          <w:numId w:val="2"/>
        </w:numPr>
        <w:spacing w:after="60" w:before="60"/>
      </w:pPr>
      <w:r>
        <w:rPr>
          <w:rFonts w:ascii="Arial" w:cs="Arial" w:eastAsia="Arial" w:hAnsi="Arial"/>
          <w:color w:val="1A1A1A"/>
          <w:sz w:val="22"/>
          <w:szCs w:val="22"/>
        </w:rPr>
        <w:t xml:space="preserve">Complete Sybil detection and wash-repayment logs to allow evaluation of anti-fraud hit rates and false positive rates</w:t>
      </w:r>
    </w:p>
    <w:p>
      <w:pPr>
        <w:pStyle w:val="ListParagraph"/>
        <w:numPr>
          <w:ilvl w:val="0"/>
          <w:numId w:val="2"/>
        </w:numPr>
        <w:spacing w:after="60" w:before="60"/>
      </w:pPr>
      <w:r>
        <w:rPr>
          <w:rFonts w:ascii="Arial" w:cs="Arial" w:eastAsia="Arial" w:hAnsi="Arial"/>
          <w:color w:val="1A1A1A"/>
          <w:sz w:val="22"/>
          <w:szCs w:val="22"/>
        </w:rPr>
        <w:t xml:space="preserve">Synthetic adversarial test datasets: clustered Sybil wallets, circular wash-repay cycles, wallet hopping after default — constructed by ZentraScore and shared for reviewer validation</w:t>
      </w:r>
    </w:p>
    <w:p>
      <w:pPr>
        <w:pStyle w:val="Heading2"/>
        <w:spacing w:after="120" w:before="280"/>
      </w:pPr>
      <w:r>
        <w:rPr>
          <w:rFonts w:ascii="Arial" w:cs="Arial" w:eastAsia="Arial" w:hAnsi="Arial"/>
          <w:b/>
          <w:bCs/>
          <w:color w:val="2E75B6"/>
          <w:sz w:val="26"/>
          <w:szCs w:val="26"/>
        </w:rPr>
        <w:t xml:space="preserve">10.2  Requested Back-Test Scope</w:t>
      </w:r>
    </w:p>
    <w:p>
      <w:pPr>
        <w:spacing w:after="120" w:before="80"/>
      </w:pPr>
      <w:r>
        <w:rPr>
          <w:rFonts w:ascii="Arial" w:cs="Arial" w:eastAsia="Arial" w:hAnsi="Arial"/>
          <w:color w:val="1A1A1A"/>
          <w:sz w:val="22"/>
          <w:szCs w:val="22"/>
        </w:rPr>
        <w:t xml:space="preserve">We request that Chaos Labs and LlamaRisk evaluate the following specific questions as part of their Phase 1 back-test:</w:t>
      </w:r>
    </w:p>
    <w:p>
      <w:pPr>
        <w:pStyle w:val="ListParagraph"/>
        <w:numPr>
          <w:ilvl w:val="0"/>
          <w:numId w:val="2"/>
        </w:numPr>
        <w:spacing w:after="60" w:before="60"/>
      </w:pPr>
      <w:r>
        <w:rPr>
          <w:rFonts w:ascii="Arial" w:cs="Arial" w:eastAsia="Arial" w:hAnsi="Arial"/>
          <w:color w:val="1A1A1A"/>
          <w:sz w:val="22"/>
          <w:szCs w:val="22"/>
        </w:rPr>
        <w:t xml:space="preserve">Does ZentraScore at launch (740+ threshold) predict lower default rates than the general Aave borrower population over 90-day, 180-day, and 365-day windows?</w:t>
      </w:r>
    </w:p>
    <w:p>
      <w:pPr>
        <w:pStyle w:val="ListParagraph"/>
        <w:numPr>
          <w:ilvl w:val="0"/>
          <w:numId w:val="2"/>
        </w:numPr>
        <w:spacing w:after="60" w:before="60"/>
      </w:pPr>
      <w:r>
        <w:rPr>
          <w:rFonts w:ascii="Arial" w:cs="Arial" w:eastAsia="Arial" w:hAnsi="Arial"/>
          <w:color w:val="1A1A1A"/>
          <w:sz w:val="22"/>
          <w:szCs w:val="22"/>
        </w:rPr>
        <w:t xml:space="preserve">What is the estimated proportion of Aave's active borrower base that would qualify for each discount band?</w:t>
      </w:r>
    </w:p>
    <w:p>
      <w:pPr>
        <w:pStyle w:val="ListParagraph"/>
        <w:numPr>
          <w:ilvl w:val="0"/>
          <w:numId w:val="2"/>
        </w:numPr>
        <w:spacing w:after="60" w:before="60"/>
      </w:pPr>
      <w:r>
        <w:rPr>
          <w:rFonts w:ascii="Arial" w:cs="Arial" w:eastAsia="Arial" w:hAnsi="Arial"/>
          <w:color w:val="1A1A1A"/>
          <w:sz w:val="22"/>
          <w:szCs w:val="22"/>
        </w:rPr>
        <w:t xml:space="preserve">What is the estimated maximum adversarial score manipulation cost under Phase 1 (rate discounts only, 150 bps cap)?</w:t>
      </w:r>
    </w:p>
    <w:p>
      <w:pPr>
        <w:pStyle w:val="ListParagraph"/>
        <w:numPr>
          <w:ilvl w:val="0"/>
          <w:numId w:val="2"/>
        </w:numPr>
        <w:spacing w:after="60" w:before="60"/>
      </w:pPr>
      <w:r>
        <w:rPr>
          <w:rFonts w:ascii="Arial" w:cs="Arial" w:eastAsia="Arial" w:hAnsi="Arial"/>
          <w:color w:val="1A1A1A"/>
          <w:sz w:val="22"/>
          <w:szCs w:val="22"/>
        </w:rPr>
        <w:t xml:space="preserve">Are there specific collateral asset markets or borrower segments where the model is expected to perform less reliably?</w:t>
      </w:r>
    </w:p>
    <w:p>
      <w:pPr>
        <w:spacing w:after="120" w:before="0"/>
      </w:pPr>
      <w:r>
        <w:t xml:space="preserve"/>
      </w:r>
    </w:p>
    <w:p>
      <w:pPr>
        <w:pBdr>
          <w:top w:val="single" w:color="B8CCE4" w:sz="1"/>
          <w:left w:val="thick" w:color="2E75B6" w:sz="16"/>
          <w:bottom w:val="single" w:color="B8CCE4" w:sz="1"/>
          <w:right w:val="single" w:color="B8CCE4" w:sz="1"/>
        </w:pBdr>
        <w:shd w:fill="D5E8F0" w:val="clear"/>
        <w:spacing w:after="160" w:before="160"/>
        <w:ind w:left="360" w:right="360"/>
      </w:pPr>
      <w:r>
        <w:rPr>
          <w:rFonts w:ascii="Arial" w:cs="Arial" w:eastAsia="Arial" w:hAnsi="Arial"/>
          <w:i/>
          <w:iCs/>
          <w:color w:val="1A3C5E"/>
          <w:sz w:val="21"/>
          <w:szCs w:val="21"/>
        </w:rPr>
        <w:t xml:space="preserve">ZentraScore requests that Chaos Labs and LlamaRisk confirm their willingness to conduct this back-test on the Aave governance forum in response to this methodology note. We will fund all data preparation costs and make ourselves available for technical Q&amp;A throughout the review.</w:t>
      </w:r>
    </w:p>
    <w:p>
      <w:pPr>
        <w:pStyle w:val="Heading1"/>
        <w:pBdr>
          <w:bottom w:val="single" w:color="2E75B6" w:sz="8" w:space="6"/>
        </w:pBdr>
        <w:spacing w:after="160" w:before="360"/>
      </w:pPr>
      <w:r>
        <w:rPr>
          <w:rFonts w:ascii="Arial" w:cs="Arial" w:eastAsia="Arial" w:hAnsi="Arial"/>
          <w:b/>
          <w:bCs/>
          <w:color w:val="1A3C5E"/>
          <w:sz w:val="32"/>
          <w:szCs w:val="32"/>
        </w:rPr>
        <w:t xml:space="preserve">11.  Governance Commitments Summary</w:t>
      </w:r>
    </w:p>
    <w:p>
      <w:pPr>
        <w:spacing w:after="120" w:before="80"/>
      </w:pPr>
      <w:r>
        <w:rPr>
          <w:rFonts w:ascii="Arial" w:cs="Arial" w:eastAsia="Arial" w:hAnsi="Arial"/>
          <w:color w:val="1A1A1A"/>
          <w:sz w:val="22"/>
          <w:szCs w:val="22"/>
        </w:rPr>
        <w:t xml:space="preserve">The following table summarizes all commitments made to Aave governance, including those made in the forum response to community feedback on the TEMP CHECK. All on-chain commitments will be encoded in the integration contract before audit.</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Commitment</w:t>
            </w:r>
          </w:p>
        </w:tc>
        <w:tc>
          <w:tcPr>
            <w:tcW w:type="dxa" w:w="312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Deliverable</w:t>
            </w:r>
          </w:p>
        </w:tc>
        <w:tc>
          <w:tcPr>
            <w:tcW w:type="dxa" w:w="3120"/>
            <w:tcBorders>
              <w:top w:val="single" w:color="B8CCE4" w:sz="1"/>
              <w:left w:val="single" w:color="B8CCE4" w:sz="1"/>
              <w:bottom w:val="single" w:color="B8CCE4" w:sz="1"/>
              <w:right w:val="single" w:color="B8CCE4" w:sz="1"/>
            </w:tcBorders>
            <w:shd w:fill="1A3C5E" w:val="clear"/>
            <w:tcMar>
              <w:top w:type="dxa" w:w="100"/>
              <w:left w:type="dxa" w:w="140"/>
              <w:bottom w:type="dxa" w:w="100"/>
              <w:right w:type="dxa" w:w="140"/>
            </w:tcMar>
            <w:vAlign w:val="center"/>
          </w:tcPr>
          <w:p>
            <w:pPr>
              <w:jc w:val="left"/>
            </w:pPr>
            <w:r>
              <w:rPr>
                <w:rFonts w:ascii="Arial" w:cs="Arial" w:eastAsia="Arial" w:hAnsi="Arial"/>
                <w:b/>
                <w:bCs/>
                <w:color w:val="FFFFFF"/>
                <w:sz w:val="20"/>
                <w:szCs w:val="20"/>
              </w:rPr>
              <w:t xml:space="preserve">Timeline</w:t>
            </w:r>
          </w:p>
        </w:tc>
      </w:tr>
      <w:tr>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1A1A1A"/>
                <w:sz w:val="20"/>
                <w:szCs w:val="20"/>
              </w:rPr>
              <w:t xml:space="preserve">Formal Methodology Note</w:t>
            </w:r>
          </w:p>
        </w:tc>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Published to forum + docs.zentrascore.com</w:t>
            </w:r>
          </w:p>
        </w:tc>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14 days from governance reply</w:t>
            </w:r>
          </w:p>
        </w:tc>
      </w:tr>
      <w:tr>
        <w:tc>
          <w:tcPr>
            <w:tcW w:type="dxa" w:w="312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bCs/>
                <w:color w:val="1A1A1A"/>
                <w:sz w:val="20"/>
                <w:szCs w:val="20"/>
              </w:rPr>
              <w:t xml:space="preserve">Oracle governance controls spec</w:t>
            </w:r>
          </w:p>
        </w:tc>
        <w:tc>
          <w:tcPr>
            <w:tcW w:type="dxa" w:w="312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Published in ARFC technical annex</w:t>
            </w:r>
          </w:p>
        </w:tc>
        <w:tc>
          <w:tcPr>
            <w:tcW w:type="dxa" w:w="312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At ARFC filing</w:t>
            </w:r>
          </w:p>
        </w:tc>
      </w:tr>
      <w:tr>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1A1A1A"/>
                <w:sz w:val="20"/>
                <w:szCs w:val="20"/>
              </w:rPr>
              <w:t xml:space="preserve">On-chain parameter implementation</w:t>
            </w:r>
          </w:p>
        </w:tc>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maxDiscount, oracleActive, scopeLock, frozenVersion encoded in integration contract</w:t>
            </w:r>
          </w:p>
        </w:tc>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Before audit</w:t>
            </w:r>
          </w:p>
        </w:tc>
      </w:tr>
      <w:tr>
        <w:tc>
          <w:tcPr>
            <w:tcW w:type="dxa" w:w="312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bCs/>
                <w:color w:val="1A1A1A"/>
                <w:sz w:val="20"/>
                <w:szCs w:val="20"/>
              </w:rPr>
              <w:t xml:space="preserve">Model versioning + 14-day notice protocol</w:t>
            </w:r>
          </w:p>
        </w:tc>
        <w:tc>
          <w:tcPr>
            <w:tcW w:type="dxa" w:w="312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Documented and enforced via governance</w:t>
            </w:r>
          </w:p>
        </w:tc>
        <w:tc>
          <w:tcPr>
            <w:tcW w:type="dxa" w:w="312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At deployment</w:t>
            </w:r>
          </w:p>
        </w:tc>
      </w:tr>
      <w:tr>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1A1A1A"/>
                <w:sz w:val="20"/>
                <w:szCs w:val="20"/>
              </w:rPr>
              <w:t xml:space="preserve">Historical dataset for back-test</w:t>
            </w:r>
          </w:p>
        </w:tc>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Shared with Chaos Labs / LlamaRisk</w:t>
            </w:r>
          </w:p>
        </w:tc>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Upon their confirmation</w:t>
            </w:r>
          </w:p>
        </w:tc>
      </w:tr>
      <w:tr>
        <w:tc>
          <w:tcPr>
            <w:tcW w:type="dxa" w:w="312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bCs/>
                <w:color w:val="1A1A1A"/>
                <w:sz w:val="20"/>
                <w:szCs w:val="20"/>
              </w:rPr>
              <w:t xml:space="preserve">Phase 1 sunset clause (6-month auto-revert)</w:t>
            </w:r>
          </w:p>
        </w:tc>
        <w:tc>
          <w:tcPr>
            <w:tcW w:type="dxa" w:w="312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Encoded in integration contract</w:t>
            </w:r>
          </w:p>
        </w:tc>
        <w:tc>
          <w:tcPr>
            <w:tcW w:type="dxa" w:w="3120"/>
            <w:tcBorders>
              <w:top w:val="single" w:color="B8CCE4" w:sz="1"/>
              <w:left w:val="single" w:color="B8CCE4" w:sz="1"/>
              <w:bottom w:val="single" w:color="B8CCE4" w:sz="1"/>
              <w:right w:val="single" w:color="B8CCE4" w:sz="1"/>
            </w:tcBorders>
            <w:shd w:fill="EBF3FB" w:val="clear"/>
            <w:tcMar>
              <w:top w:type="dxa" w:w="80"/>
              <w:left w:type="dxa" w:w="140"/>
              <w:bottom w:type="dxa" w:w="80"/>
              <w:right w:type="dxa" w:w="140"/>
            </w:tcMar>
          </w:tcPr>
          <w:p>
            <w:r>
              <w:rPr>
                <w:rFonts w:ascii="Arial" w:cs="Arial" w:eastAsia="Arial" w:hAnsi="Arial"/>
                <w:b w:val="false"/>
                <w:bCs w:val="false"/>
                <w:color w:val="1A1A1A"/>
                <w:sz w:val="20"/>
                <w:szCs w:val="20"/>
              </w:rPr>
              <w:t xml:space="preserve">Before audit</w:t>
            </w:r>
          </w:p>
        </w:tc>
      </w:tr>
      <w:tr>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bCs/>
                <w:color w:val="1A1A1A"/>
                <w:sz w:val="20"/>
                <w:szCs w:val="20"/>
              </w:rPr>
              <w:t xml:space="preserve">Independent audit</w:t>
            </w:r>
          </w:p>
        </w:tc>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Public report from OpenZeppelin, Trail of Bits, or Spearbit before on-chain vote</w:t>
            </w:r>
          </w:p>
        </w:tc>
        <w:tc>
          <w:tcPr>
            <w:tcW w:type="dxa" w:w="3120"/>
            <w:tcBorders>
              <w:top w:val="single" w:color="B8CCE4" w:sz="1"/>
              <w:left w:val="single" w:color="B8CCE4" w:sz="1"/>
              <w:bottom w:val="single" w:color="B8CCE4" w:sz="1"/>
              <w:right w:val="single" w:color="B8CCE4" w:sz="1"/>
            </w:tcBorders>
            <w:shd w:fill="FFFFFF" w:val="clear"/>
            <w:tcMar>
              <w:top w:type="dxa" w:w="80"/>
              <w:left w:type="dxa" w:w="140"/>
              <w:bottom w:type="dxa" w:w="80"/>
              <w:right w:type="dxa" w:w="140"/>
            </w:tcMar>
          </w:tcPr>
          <w:p>
            <w:r>
              <w:rPr>
                <w:rFonts w:ascii="Arial" w:cs="Arial" w:eastAsia="Arial" w:hAnsi="Arial"/>
                <w:b w:val="false"/>
                <w:bCs w:val="false"/>
                <w:color w:val="1A1A1A"/>
                <w:sz w:val="20"/>
                <w:szCs w:val="20"/>
              </w:rPr>
              <w:t xml:space="preserve">Post-ARFC approval</w:t>
            </w:r>
          </w:p>
        </w:tc>
      </w:tr>
    </w:tbl>
    <w:p>
      <w:pPr>
        <w:spacing w:after="240" w:before="0"/>
      </w:pPr>
      <w:r>
        <w:t xml:space="preserve"/>
      </w:r>
    </w:p>
    <w:p>
      <w:pPr>
        <w:pBdr>
          <w:top w:val="single" w:color="B8CCE4" w:sz="4" w:space="8"/>
        </w:pBdr>
        <w:spacing w:after="80" w:before="160"/>
      </w:pPr>
      <w:r>
        <w:rPr>
          <w:rFonts w:ascii="Arial" w:cs="Arial" w:eastAsia="Arial" w:hAnsi="Arial"/>
          <w:b/>
          <w:bCs/>
          <w:color w:val="404040"/>
          <w:sz w:val="20"/>
          <w:szCs w:val="20"/>
        </w:rPr>
        <w:t xml:space="preserve">Disclaimer</w:t>
      </w:r>
    </w:p>
    <w:p>
      <w:pPr>
        <w:spacing w:after="120" w:before="80"/>
      </w:pPr>
      <w:r>
        <w:rPr>
          <w:rFonts w:ascii="Arial" w:cs="Arial" w:eastAsia="Arial" w:hAnsi="Arial"/>
          <w:color w:val="1A1A1A"/>
          <w:sz w:val="22"/>
          <w:szCs w:val="22"/>
        </w:rPr>
        <w:t xml:space="preserve">This document is prepared by ZentraScore for Aave governance review purposes. It does not constitute financial advice, legal advice, or an offer of any kind. All proposed parameters are illustrative and subject to revision based on community feedback, risk provider assessment, and independent audit findings. ZentraScore is not affiliated with Aave, Aave Labs, or any Aave service provider. ZentraScore v1.0, May 2026.</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CCE4" w:sz="4" w:space="4"/>
      </w:pBdr>
      <w:tabs>
        <w:tab w:val="right" w:pos="9360"/>
      </w:tabs>
      <w:spacing w:after="0" w:before="80"/>
    </w:pPr>
    <w:r>
      <w:rPr>
        <w:rFonts w:ascii="Arial" w:cs="Arial" w:eastAsia="Arial" w:hAnsi="Arial"/>
        <w:color w:val="404040"/>
        <w:sz w:val="18"/>
        <w:szCs w:val="18"/>
      </w:rPr>
      <w:t xml:space="preserve">zentrascore.com  |  support@zentrascore.com</w:t>
    </w:r>
    <w:r>
      <w:rPr>
        <w:rFonts w:ascii="Arial" w:cs="Arial" w:eastAsia="Arial" w:hAnsi="Arial"/>
        <w:color w:val="404040"/>
        <w:sz w:val="18"/>
        <w:szCs w:val="18"/>
      </w:rPr>
      <w:t xml:space="preserve">	Page </w:t>
    </w:r>
    <w:r>
      <w:rPr>
        <w:rFonts w:ascii="Arial" w:cs="Arial" w:eastAsia="Arial" w:hAnsi="Arial"/>
        <w:color w:val="404040"/>
        <w:sz w:val="18"/>
        <w:szCs w:val="18"/>
      </w:rPr>
      <w:t xml:space="preser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tabs>
        <w:tab w:val="right" w:pos="9360"/>
      </w:tabs>
      <w:spacing w:after="80" w:before="0"/>
    </w:pPr>
    <w:r>
      <w:rPr>
        <w:rFonts w:ascii="Arial" w:cs="Arial" w:eastAsia="Arial" w:hAnsi="Arial"/>
        <w:color w:val="404040"/>
        <w:sz w:val="18"/>
        <w:szCs w:val="18"/>
      </w:rPr>
      <w:t xml:space="preserve">ZentraScore  |  Credit Scoring Methodology  |  v1.0</w:t>
    </w:r>
    <w:r>
      <w:rPr>
        <w:rFonts w:ascii="Arial" w:cs="Arial" w:eastAsia="Arial" w:hAnsi="Arial"/>
        <w:color w:val="2E75B6"/>
        <w:sz w:val="16"/>
        <w:szCs w:val="16"/>
      </w:rPr>
      <w:t xml:space="preserve">	CONFIDENTIAL — GOVERNANCE REVIEW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abstractNum w:abstractNumId="3" w15:restartNumberingAfterBreak="0">
    <w:multiLevelType w:val="hybridMultilevel"/>
    <w:lvl w:ilvl="0" w15:tentative="1">
      <w:start w:val="1"/>
      <w:numFmt w:val="bullet"/>
      <w:lvlText w:val="◦"/>
      <w:lvlJc w:val="left"/>
      <w:pPr>
        <w:ind w:left="960" w:hanging="300"/>
      </w:pPr>
    </w:lvl>
  </w:abstractNum>
  <w:abstractNum w:abstractNumId="4"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A3C5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2026-05-17T21:52:17.664Z</dcterms:created>
  <dcterms:modified xsi:type="dcterms:W3CDTF">2026-05-17T21:52:17.665Z</dcterms:modified>
</cp:coreProperties>
</file>

<file path=docProps/custom.xml><?xml version="1.0" encoding="utf-8"?>
<Properties xmlns="http://schemas.openxmlformats.org/officeDocument/2006/custom-properties" xmlns:vt="http://schemas.openxmlformats.org/officeDocument/2006/docPropsVTypes"/>
</file>